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6255B" w14:textId="77777777" w:rsidR="003532AE" w:rsidRPr="008D05DE" w:rsidRDefault="003532AE" w:rsidP="00A630DC">
      <w:pPr>
        <w:pStyle w:val="NormalWeb"/>
        <w:spacing w:before="0" w:beforeAutospacing="0" w:after="0" w:afterAutospacing="0"/>
        <w:rPr>
          <w:b/>
          <w:color w:val="090975"/>
          <w:sz w:val="28"/>
          <w:szCs w:val="28"/>
          <w:lang w:val="es-ES"/>
        </w:rPr>
      </w:pPr>
      <w:bookmarkStart w:id="0" w:name="_Hlk58049880"/>
      <w:bookmarkStart w:id="1" w:name="_Hlk94982791"/>
      <w:r w:rsidRPr="008D05DE">
        <w:rPr>
          <w:b/>
          <w:color w:val="090975"/>
          <w:sz w:val="28"/>
          <w:szCs w:val="28"/>
          <w:lang w:val="es-ES"/>
        </w:rPr>
        <w:t>ORIGINAL</w:t>
      </w:r>
    </w:p>
    <w:p w14:paraId="0D3402BB" w14:textId="77777777" w:rsidR="003532AE" w:rsidRPr="008D05DE" w:rsidRDefault="003532AE" w:rsidP="00A630DC">
      <w:pPr>
        <w:pStyle w:val="NormalWeb"/>
        <w:spacing w:before="0" w:beforeAutospacing="0" w:after="0" w:afterAutospacing="0"/>
        <w:rPr>
          <w:b/>
          <w:color w:val="090975"/>
          <w:sz w:val="28"/>
          <w:szCs w:val="28"/>
          <w:lang w:val="es-ES"/>
        </w:rPr>
      </w:pPr>
      <w:r w:rsidRPr="008D05DE">
        <w:rPr>
          <w:b/>
          <w:color w:val="090975"/>
          <w:sz w:val="28"/>
          <w:szCs w:val="28"/>
          <w:lang w:val="es-ES"/>
        </w:rPr>
        <w:t>Artículo de investigación</w:t>
      </w:r>
    </w:p>
    <w:p w14:paraId="3DCFC0A4" w14:textId="77777777" w:rsidR="006F3695" w:rsidRPr="008D05DE" w:rsidRDefault="006F3695" w:rsidP="00A630DC">
      <w:pPr>
        <w:pStyle w:val="NormalWeb"/>
        <w:spacing w:before="0" w:beforeAutospacing="0" w:after="0" w:afterAutospacing="0"/>
        <w:rPr>
          <w:b/>
          <w:color w:val="090975"/>
          <w:sz w:val="36"/>
          <w:szCs w:val="36"/>
          <w:lang w:val="es-ES"/>
        </w:rPr>
      </w:pPr>
    </w:p>
    <w:bookmarkEnd w:id="0"/>
    <w:bookmarkEnd w:id="1"/>
    <w:p w14:paraId="432A72A5" w14:textId="6288FFFE" w:rsidR="001E4ECB" w:rsidRPr="008D05DE" w:rsidRDefault="001E4ECB" w:rsidP="00A630DC">
      <w:pPr>
        <w:pStyle w:val="NormalWeb"/>
        <w:spacing w:before="0" w:beforeAutospacing="0" w:after="0" w:afterAutospacing="0"/>
        <w:jc w:val="center"/>
        <w:rPr>
          <w:b/>
          <w:color w:val="090975"/>
          <w:sz w:val="36"/>
          <w:szCs w:val="36"/>
          <w:lang w:val="es-ES"/>
        </w:rPr>
      </w:pPr>
      <w:r w:rsidRPr="001E4ECB">
        <w:rPr>
          <w:b/>
          <w:color w:val="090975"/>
          <w:sz w:val="36"/>
          <w:szCs w:val="36"/>
          <w:lang w:val="es-ES"/>
        </w:rPr>
        <w:t>Relación entre el Ciclo de Caja de Efectivo y la Rentabilidad en las grandes empresas del sector comercio en Colombia</w:t>
      </w:r>
      <w:r w:rsidR="00FD5602">
        <w:rPr>
          <w:rStyle w:val="Refdenotaalpie"/>
          <w:b/>
          <w:color w:val="090975"/>
          <w:sz w:val="36"/>
          <w:szCs w:val="36"/>
          <w:lang w:val="es-ES"/>
        </w:rPr>
        <w:footnoteReference w:customMarkFollows="1" w:id="1"/>
        <w:t>*</w:t>
      </w:r>
    </w:p>
    <w:p w14:paraId="3CF518FC" w14:textId="77777777" w:rsidR="00862F9A" w:rsidRPr="008D05DE" w:rsidRDefault="00862F9A" w:rsidP="00A630DC">
      <w:pPr>
        <w:pStyle w:val="NormalWeb"/>
        <w:spacing w:before="0" w:beforeAutospacing="0" w:after="0" w:afterAutospacing="0"/>
        <w:jc w:val="center"/>
        <w:rPr>
          <w:b/>
          <w:color w:val="090975"/>
          <w:lang w:val="es-ES"/>
        </w:rPr>
      </w:pPr>
    </w:p>
    <w:p w14:paraId="6DF2EBD7" w14:textId="3CD1901C" w:rsidR="00C26DBE" w:rsidRDefault="001E4ECB" w:rsidP="00A630DC">
      <w:pPr>
        <w:pStyle w:val="NormalWeb"/>
        <w:spacing w:before="0" w:beforeAutospacing="0" w:after="0" w:afterAutospacing="0"/>
        <w:rPr>
          <w:color w:val="C00000"/>
          <w:sz w:val="28"/>
          <w:szCs w:val="28"/>
          <w:lang w:val="en-US"/>
        </w:rPr>
      </w:pPr>
      <w:r w:rsidRPr="001E4ECB">
        <w:rPr>
          <w:color w:val="C00000"/>
          <w:sz w:val="28"/>
          <w:szCs w:val="28"/>
          <w:lang w:val="en-US"/>
        </w:rPr>
        <w:t>Relationship between the cash conversion cycle (CCC) and profitability in big companies in the sector commerce in Colombia</w:t>
      </w:r>
    </w:p>
    <w:p w14:paraId="31A120E9" w14:textId="77777777" w:rsidR="001E4ECB" w:rsidRPr="009F612E" w:rsidRDefault="001E4ECB" w:rsidP="00A630DC">
      <w:pPr>
        <w:pStyle w:val="NormalWeb"/>
        <w:spacing w:before="0" w:beforeAutospacing="0" w:after="0" w:afterAutospacing="0"/>
        <w:rPr>
          <w:b/>
          <w:lang w:val="en-US"/>
        </w:rPr>
      </w:pPr>
    </w:p>
    <w:p w14:paraId="073318CD" w14:textId="094DC49C" w:rsidR="00FD5602" w:rsidRPr="008D05DE" w:rsidRDefault="004B2526" w:rsidP="004B2526">
      <w:pPr>
        <w:suppressAutoHyphens/>
        <w:spacing w:after="0"/>
        <w:rPr>
          <w:rFonts w:ascii="Times New Roman" w:hAnsi="Times New Roman"/>
          <w:bCs/>
          <w:sz w:val="20"/>
          <w:szCs w:val="20"/>
          <w:lang w:val="es-ES"/>
        </w:rPr>
      </w:pPr>
      <w:r w:rsidRPr="004B2526">
        <w:rPr>
          <w:rFonts w:ascii="Times New Roman" w:hAnsi="Times New Roman"/>
          <w:bCs/>
          <w:sz w:val="20"/>
          <w:szCs w:val="20"/>
          <w:lang w:val="es-ES"/>
        </w:rPr>
        <w:t>Recibido: Mayo 2</w:t>
      </w:r>
      <w:r>
        <w:rPr>
          <w:rFonts w:ascii="Times New Roman" w:hAnsi="Times New Roman"/>
          <w:bCs/>
          <w:sz w:val="20"/>
          <w:szCs w:val="20"/>
          <w:lang w:val="es-ES"/>
        </w:rPr>
        <w:t>5</w:t>
      </w:r>
      <w:r w:rsidRPr="004B2526">
        <w:rPr>
          <w:rFonts w:ascii="Times New Roman" w:hAnsi="Times New Roman"/>
          <w:bCs/>
          <w:sz w:val="20"/>
          <w:szCs w:val="20"/>
          <w:lang w:val="es-ES"/>
        </w:rPr>
        <w:t xml:space="preserve"> de 2023 - Evaluado: Agosto 2</w:t>
      </w:r>
      <w:r>
        <w:rPr>
          <w:rFonts w:ascii="Times New Roman" w:hAnsi="Times New Roman"/>
          <w:bCs/>
          <w:sz w:val="20"/>
          <w:szCs w:val="20"/>
          <w:lang w:val="es-ES"/>
        </w:rPr>
        <w:t>6</w:t>
      </w:r>
      <w:r w:rsidRPr="004B2526">
        <w:rPr>
          <w:rFonts w:ascii="Times New Roman" w:hAnsi="Times New Roman"/>
          <w:bCs/>
          <w:sz w:val="20"/>
          <w:szCs w:val="20"/>
          <w:lang w:val="es-ES"/>
        </w:rPr>
        <w:t xml:space="preserve"> de 2023 - Aceptado: Noviembre </w:t>
      </w:r>
      <w:r>
        <w:rPr>
          <w:rFonts w:ascii="Times New Roman" w:hAnsi="Times New Roman"/>
          <w:bCs/>
          <w:sz w:val="20"/>
          <w:szCs w:val="20"/>
          <w:lang w:val="es-ES"/>
        </w:rPr>
        <w:t>29</w:t>
      </w:r>
      <w:r w:rsidRPr="004B2526">
        <w:rPr>
          <w:rFonts w:ascii="Times New Roman" w:hAnsi="Times New Roman"/>
          <w:bCs/>
          <w:sz w:val="20"/>
          <w:szCs w:val="20"/>
          <w:lang w:val="es-ES"/>
        </w:rPr>
        <w:t xml:space="preserve"> de 2023</w:t>
      </w:r>
    </w:p>
    <w:p w14:paraId="2EA85F20" w14:textId="77777777" w:rsidR="00E208F4" w:rsidRPr="008D05DE" w:rsidRDefault="00E208F4" w:rsidP="00A630DC">
      <w:pPr>
        <w:pStyle w:val="NormalWeb"/>
        <w:spacing w:before="0" w:beforeAutospacing="0" w:after="0" w:afterAutospacing="0"/>
        <w:rPr>
          <w:bCs/>
          <w:lang w:val="es-ES"/>
        </w:rPr>
      </w:pPr>
    </w:p>
    <w:p w14:paraId="28FED2F5" w14:textId="6B572D46" w:rsidR="003670A3" w:rsidRDefault="003670A3" w:rsidP="00A630DC">
      <w:pPr>
        <w:pStyle w:val="NormalWeb"/>
        <w:spacing w:before="0" w:beforeAutospacing="0" w:after="0" w:afterAutospacing="0"/>
        <w:jc w:val="right"/>
        <w:rPr>
          <w:lang w:val="es-ES"/>
        </w:rPr>
      </w:pPr>
      <w:bookmarkStart w:id="2" w:name="_Hlk137147928"/>
      <w:bookmarkStart w:id="3" w:name="_Hlk169080572"/>
      <w:bookmarkStart w:id="4" w:name="_Hlk170282640"/>
      <w:r w:rsidRPr="003670A3">
        <w:rPr>
          <w:lang w:val="es-ES"/>
        </w:rPr>
        <w:t>Miguel Ángel Gómez</w:t>
      </w:r>
      <w:r w:rsidR="00FD5602">
        <w:rPr>
          <w:lang w:val="es-ES"/>
        </w:rPr>
        <w:t>-</w:t>
      </w:r>
      <w:r w:rsidRPr="003670A3">
        <w:rPr>
          <w:lang w:val="es-ES"/>
        </w:rPr>
        <w:t>Chaves</w:t>
      </w:r>
      <w:r w:rsidR="00FD5602">
        <w:rPr>
          <w:rStyle w:val="Refdenotaalpie"/>
          <w:lang w:val="es-ES"/>
        </w:rPr>
        <w:footnoteReference w:customMarkFollows="1" w:id="2"/>
        <w:t>**</w:t>
      </w:r>
    </w:p>
    <w:bookmarkEnd w:id="2"/>
    <w:p w14:paraId="6383590A" w14:textId="319BCC95" w:rsidR="003670A3" w:rsidRDefault="003670A3" w:rsidP="00A630DC">
      <w:pPr>
        <w:pStyle w:val="NormalWeb"/>
        <w:spacing w:before="0" w:beforeAutospacing="0" w:after="0" w:afterAutospacing="0"/>
        <w:jc w:val="right"/>
        <w:rPr>
          <w:lang w:val="es-ES"/>
        </w:rPr>
      </w:pPr>
      <w:proofErr w:type="spellStart"/>
      <w:r w:rsidRPr="003670A3">
        <w:rPr>
          <w:lang w:val="es-ES"/>
        </w:rPr>
        <w:t>Orcid</w:t>
      </w:r>
      <w:proofErr w:type="spellEnd"/>
      <w:r w:rsidRPr="003670A3">
        <w:rPr>
          <w:lang w:val="es-ES"/>
        </w:rPr>
        <w:t xml:space="preserve">: </w:t>
      </w:r>
      <w:hyperlink r:id="rId8" w:history="1">
        <w:r w:rsidRPr="003670A3">
          <w:rPr>
            <w:lang w:val="es-ES"/>
          </w:rPr>
          <w:t>https://orcid.org/0000-0003-1238-3902</w:t>
        </w:r>
      </w:hyperlink>
    </w:p>
    <w:p w14:paraId="7AB3C084" w14:textId="25AD5930" w:rsidR="003670A3" w:rsidRDefault="003670A3" w:rsidP="00A630DC">
      <w:pPr>
        <w:pStyle w:val="NormalWeb"/>
        <w:spacing w:before="0" w:beforeAutospacing="0" w:after="0" w:afterAutospacing="0"/>
        <w:jc w:val="right"/>
        <w:rPr>
          <w:lang w:val="es-ES"/>
        </w:rPr>
      </w:pPr>
      <w:r w:rsidRPr="003670A3">
        <w:rPr>
          <w:lang w:val="es-ES"/>
        </w:rPr>
        <w:t>Karla Giovanna Benavides</w:t>
      </w:r>
      <w:r w:rsidR="00FD5602">
        <w:rPr>
          <w:lang w:val="es-ES"/>
        </w:rPr>
        <w:t>-</w:t>
      </w:r>
      <w:r w:rsidRPr="003670A3">
        <w:rPr>
          <w:lang w:val="es-ES"/>
        </w:rPr>
        <w:t>Chamorro</w:t>
      </w:r>
      <w:r w:rsidR="00FD5602">
        <w:rPr>
          <w:rStyle w:val="Refdenotaalpie"/>
          <w:lang w:val="es-ES"/>
        </w:rPr>
        <w:footnoteReference w:customMarkFollows="1" w:id="3"/>
        <w:t>***</w:t>
      </w:r>
    </w:p>
    <w:p w14:paraId="6C950B22" w14:textId="01170028" w:rsidR="003670A3" w:rsidRDefault="003670A3" w:rsidP="00A630DC">
      <w:pPr>
        <w:pStyle w:val="NormalWeb"/>
        <w:spacing w:before="0" w:beforeAutospacing="0" w:after="0" w:afterAutospacing="0"/>
        <w:jc w:val="right"/>
        <w:rPr>
          <w:lang w:val="es-ES"/>
        </w:rPr>
      </w:pPr>
      <w:proofErr w:type="spellStart"/>
      <w:r w:rsidRPr="003670A3">
        <w:rPr>
          <w:lang w:val="es-ES"/>
        </w:rPr>
        <w:t>Orcid</w:t>
      </w:r>
      <w:proofErr w:type="spellEnd"/>
      <w:r w:rsidRPr="003670A3">
        <w:rPr>
          <w:lang w:val="es-ES"/>
        </w:rPr>
        <w:t xml:space="preserve">: </w:t>
      </w:r>
      <w:hyperlink r:id="rId9" w:history="1">
        <w:r w:rsidRPr="003670A3">
          <w:rPr>
            <w:lang w:val="es-ES"/>
          </w:rPr>
          <w:t>https://orcid.org/0009-0001-0304-6130</w:t>
        </w:r>
      </w:hyperlink>
    </w:p>
    <w:bookmarkEnd w:id="3"/>
    <w:p w14:paraId="3E6EECF1" w14:textId="5DE62299" w:rsidR="003670A3" w:rsidRDefault="003670A3" w:rsidP="00A630DC">
      <w:pPr>
        <w:pStyle w:val="NormalWeb"/>
        <w:spacing w:before="0" w:beforeAutospacing="0" w:after="0" w:afterAutospacing="0"/>
        <w:jc w:val="right"/>
        <w:rPr>
          <w:lang w:val="es-ES"/>
        </w:rPr>
      </w:pPr>
      <w:r w:rsidRPr="003670A3">
        <w:rPr>
          <w:lang w:val="es-ES"/>
        </w:rPr>
        <w:t>Víctor Hugo López</w:t>
      </w:r>
      <w:r w:rsidR="00FD5602">
        <w:rPr>
          <w:lang w:val="es-ES"/>
        </w:rPr>
        <w:t>-</w:t>
      </w:r>
      <w:r w:rsidRPr="003670A3">
        <w:rPr>
          <w:lang w:val="es-ES"/>
        </w:rPr>
        <w:t>Díaz</w:t>
      </w:r>
      <w:r w:rsidR="00FD5602">
        <w:rPr>
          <w:rStyle w:val="Refdenotaalpie"/>
          <w:lang w:val="es-ES"/>
        </w:rPr>
        <w:footnoteReference w:customMarkFollows="1" w:id="4"/>
        <w:t>****</w:t>
      </w:r>
      <w:bookmarkEnd w:id="4"/>
    </w:p>
    <w:p w14:paraId="3D1F09E7" w14:textId="2592EFBF" w:rsidR="00274F2C" w:rsidRPr="008D05DE" w:rsidRDefault="003670A3" w:rsidP="00A630DC">
      <w:pPr>
        <w:pStyle w:val="NormalWeb"/>
        <w:spacing w:before="0" w:beforeAutospacing="0" w:after="0" w:afterAutospacing="0"/>
        <w:jc w:val="right"/>
        <w:rPr>
          <w:lang w:val="es-ES"/>
        </w:rPr>
      </w:pPr>
      <w:proofErr w:type="spellStart"/>
      <w:r w:rsidRPr="003670A3">
        <w:rPr>
          <w:lang w:val="es-ES"/>
        </w:rPr>
        <w:t>Orcid</w:t>
      </w:r>
      <w:proofErr w:type="spellEnd"/>
      <w:r w:rsidRPr="003670A3">
        <w:rPr>
          <w:lang w:val="es-ES"/>
        </w:rPr>
        <w:t>: https://orcid.org/0000-0003-0829-9150</w:t>
      </w:r>
      <w:r w:rsidR="00274F2C" w:rsidRPr="008D05DE">
        <w:rPr>
          <w:lang w:val="es-ES"/>
        </w:rPr>
        <w:t xml:space="preserve"> </w:t>
      </w:r>
    </w:p>
    <w:p w14:paraId="66ABE285" w14:textId="77777777" w:rsidR="00274F2C" w:rsidRPr="008D05DE" w:rsidRDefault="00274F2C" w:rsidP="00A630DC">
      <w:pPr>
        <w:spacing w:after="0"/>
        <w:rPr>
          <w:rFonts w:ascii="Times New Roman" w:hAnsi="Times New Roman" w:cs="Times New Roman"/>
          <w:lang w:val="es-ES"/>
        </w:rPr>
      </w:pPr>
    </w:p>
    <w:p w14:paraId="6CA5BC75" w14:textId="77777777" w:rsidR="000C3A17" w:rsidRPr="008D05DE" w:rsidRDefault="000C3A17" w:rsidP="00A630DC">
      <w:pPr>
        <w:shd w:val="clear" w:color="auto" w:fill="D9D9D9" w:themeFill="background1" w:themeFillShade="D9"/>
        <w:suppressAutoHyphens/>
        <w:spacing w:after="0"/>
        <w:rPr>
          <w:rFonts w:ascii="Times New Roman" w:hAnsi="Times New Roman"/>
          <w:b/>
          <w:sz w:val="20"/>
          <w:szCs w:val="20"/>
          <w:lang w:val="es-ES"/>
        </w:rPr>
      </w:pPr>
      <w:r w:rsidRPr="008D05DE">
        <w:rPr>
          <w:rFonts w:ascii="Times New Roman" w:hAnsi="Times New Roman"/>
          <w:b/>
          <w:sz w:val="20"/>
          <w:szCs w:val="20"/>
          <w:lang w:val="es-ES"/>
        </w:rPr>
        <w:t xml:space="preserve">Para citar este artículo / </w:t>
      </w:r>
      <w:proofErr w:type="spellStart"/>
      <w:r w:rsidRPr="008D05DE">
        <w:rPr>
          <w:rFonts w:ascii="Times New Roman" w:hAnsi="Times New Roman"/>
          <w:b/>
          <w:sz w:val="20"/>
          <w:szCs w:val="20"/>
          <w:lang w:val="es-ES"/>
        </w:rPr>
        <w:t>To</w:t>
      </w:r>
      <w:proofErr w:type="spellEnd"/>
      <w:r w:rsidRPr="008D05DE">
        <w:rPr>
          <w:rFonts w:ascii="Times New Roman" w:hAnsi="Times New Roman"/>
          <w:b/>
          <w:sz w:val="20"/>
          <w:szCs w:val="20"/>
          <w:lang w:val="es-ES"/>
        </w:rPr>
        <w:t xml:space="preserve"> cite </w:t>
      </w:r>
      <w:proofErr w:type="spellStart"/>
      <w:r w:rsidRPr="008D05DE">
        <w:rPr>
          <w:rFonts w:ascii="Times New Roman" w:hAnsi="Times New Roman"/>
          <w:b/>
          <w:sz w:val="20"/>
          <w:szCs w:val="20"/>
          <w:lang w:val="es-ES"/>
        </w:rPr>
        <w:t>this</w:t>
      </w:r>
      <w:proofErr w:type="spellEnd"/>
      <w:r w:rsidRPr="008D05DE">
        <w:rPr>
          <w:rFonts w:ascii="Times New Roman" w:hAnsi="Times New Roman"/>
          <w:b/>
          <w:sz w:val="20"/>
          <w:szCs w:val="20"/>
          <w:lang w:val="es-ES"/>
        </w:rPr>
        <w:t xml:space="preserve"> </w:t>
      </w:r>
      <w:proofErr w:type="spellStart"/>
      <w:r w:rsidRPr="008D05DE">
        <w:rPr>
          <w:rFonts w:ascii="Times New Roman" w:hAnsi="Times New Roman"/>
          <w:b/>
          <w:sz w:val="20"/>
          <w:szCs w:val="20"/>
          <w:lang w:val="es-ES"/>
        </w:rPr>
        <w:t>Article</w:t>
      </w:r>
      <w:proofErr w:type="spellEnd"/>
    </w:p>
    <w:p w14:paraId="66F807FD" w14:textId="564E3E11" w:rsidR="000C3A17" w:rsidRDefault="0059559B" w:rsidP="00A630DC">
      <w:pPr>
        <w:shd w:val="clear" w:color="auto" w:fill="D9D9D9" w:themeFill="background1" w:themeFillShade="D9"/>
        <w:suppressAutoHyphens/>
        <w:spacing w:after="0"/>
        <w:rPr>
          <w:rFonts w:ascii="Times New Roman" w:hAnsi="Times New Roman"/>
          <w:bCs/>
          <w:sz w:val="22"/>
          <w:lang w:val="es-ES"/>
        </w:rPr>
      </w:pPr>
      <w:r w:rsidRPr="0059559B">
        <w:rPr>
          <w:rFonts w:ascii="Times New Roman" w:hAnsi="Times New Roman"/>
          <w:bCs/>
          <w:sz w:val="22"/>
          <w:lang w:val="es-ES"/>
        </w:rPr>
        <w:t>Gómez-Chaves</w:t>
      </w:r>
      <w:r>
        <w:rPr>
          <w:rFonts w:ascii="Times New Roman" w:hAnsi="Times New Roman"/>
          <w:bCs/>
          <w:sz w:val="22"/>
          <w:lang w:val="es-ES"/>
        </w:rPr>
        <w:t xml:space="preserve">, M. A., </w:t>
      </w:r>
      <w:r w:rsidRPr="0059559B">
        <w:rPr>
          <w:rFonts w:ascii="Times New Roman" w:hAnsi="Times New Roman"/>
          <w:bCs/>
          <w:sz w:val="22"/>
          <w:lang w:val="es-ES"/>
        </w:rPr>
        <w:t>Benavides-Chamorro</w:t>
      </w:r>
      <w:r>
        <w:rPr>
          <w:rFonts w:ascii="Times New Roman" w:hAnsi="Times New Roman"/>
          <w:bCs/>
          <w:sz w:val="22"/>
          <w:lang w:val="es-ES"/>
        </w:rPr>
        <w:t xml:space="preserve">, K. G., &amp; </w:t>
      </w:r>
      <w:r w:rsidRPr="0059559B">
        <w:rPr>
          <w:rFonts w:ascii="Times New Roman" w:hAnsi="Times New Roman"/>
          <w:bCs/>
          <w:sz w:val="22"/>
          <w:lang w:val="es-ES"/>
        </w:rPr>
        <w:t>López-Díaz</w:t>
      </w:r>
      <w:r>
        <w:rPr>
          <w:rFonts w:ascii="Times New Roman" w:hAnsi="Times New Roman"/>
          <w:bCs/>
          <w:sz w:val="22"/>
          <w:lang w:val="es-ES"/>
        </w:rPr>
        <w:t xml:space="preserve">, V. H. </w:t>
      </w:r>
      <w:r w:rsidR="003670A3" w:rsidRPr="003670A3">
        <w:rPr>
          <w:rFonts w:ascii="Times New Roman" w:hAnsi="Times New Roman"/>
          <w:bCs/>
          <w:sz w:val="22"/>
          <w:lang w:val="es-ES"/>
        </w:rPr>
        <w:t>(202</w:t>
      </w:r>
      <w:r>
        <w:rPr>
          <w:rFonts w:ascii="Times New Roman" w:hAnsi="Times New Roman"/>
          <w:bCs/>
          <w:sz w:val="22"/>
          <w:lang w:val="es-ES"/>
        </w:rPr>
        <w:t>4</w:t>
      </w:r>
      <w:r w:rsidR="003670A3" w:rsidRPr="003670A3">
        <w:rPr>
          <w:rFonts w:ascii="Times New Roman" w:hAnsi="Times New Roman"/>
          <w:bCs/>
          <w:sz w:val="22"/>
          <w:lang w:val="es-ES"/>
        </w:rPr>
        <w:t>). Relación entre el Ciclo de Caja de Efectivo y la Rentabilidad en las grandes empresas del sector comercio en Colombia</w:t>
      </w:r>
      <w:r w:rsidR="00FA3EB0">
        <w:rPr>
          <w:rFonts w:ascii="Times New Roman" w:hAnsi="Times New Roman"/>
          <w:bCs/>
          <w:sz w:val="22"/>
          <w:lang w:val="es-ES"/>
        </w:rPr>
        <w:t xml:space="preserve">. </w:t>
      </w:r>
      <w:r w:rsidR="00FA3EB0" w:rsidRPr="002937F4">
        <w:rPr>
          <w:rFonts w:ascii="Times New Roman" w:hAnsi="Times New Roman"/>
          <w:bCs/>
          <w:i/>
          <w:iCs/>
          <w:sz w:val="22"/>
          <w:lang w:val="es-ES"/>
        </w:rPr>
        <w:t>Revista Gestión y Desarrollo Libre</w:t>
      </w:r>
      <w:r w:rsidR="00FA3EB0" w:rsidRPr="002937F4">
        <w:rPr>
          <w:rFonts w:ascii="Times New Roman" w:hAnsi="Times New Roman"/>
          <w:bCs/>
          <w:sz w:val="22"/>
          <w:lang w:val="es-ES"/>
        </w:rPr>
        <w:t>, 9(18), 1-14.</w:t>
      </w:r>
      <w:r w:rsidR="00FA3EB0">
        <w:rPr>
          <w:rFonts w:ascii="Times New Roman" w:hAnsi="Times New Roman"/>
          <w:bCs/>
          <w:sz w:val="22"/>
          <w:lang w:val="es-ES"/>
        </w:rPr>
        <w:t xml:space="preserve"> </w:t>
      </w:r>
    </w:p>
    <w:p w14:paraId="189A06C3" w14:textId="77777777" w:rsidR="003670A3" w:rsidRPr="002937F4" w:rsidRDefault="003670A3" w:rsidP="00A630DC">
      <w:pPr>
        <w:shd w:val="clear" w:color="auto" w:fill="D9D9D9" w:themeFill="background1" w:themeFillShade="D9"/>
        <w:suppressAutoHyphens/>
        <w:spacing w:after="0"/>
        <w:rPr>
          <w:rFonts w:ascii="Times New Roman" w:hAnsi="Times New Roman"/>
          <w:bCs/>
          <w:sz w:val="22"/>
          <w:lang w:val="es-ES"/>
        </w:rPr>
      </w:pPr>
    </w:p>
    <w:p w14:paraId="545774BD" w14:textId="77777777" w:rsidR="000C3A17" w:rsidRPr="008D05DE" w:rsidRDefault="000C3A17" w:rsidP="00A630DC">
      <w:pPr>
        <w:shd w:val="clear" w:color="auto" w:fill="D9D9D9" w:themeFill="background1" w:themeFillShade="D9"/>
        <w:suppressAutoHyphens/>
        <w:spacing w:after="0"/>
        <w:rPr>
          <w:rFonts w:ascii="Times New Roman" w:hAnsi="Times New Roman"/>
          <w:b/>
          <w:sz w:val="20"/>
          <w:szCs w:val="20"/>
          <w:lang w:val="es-ES"/>
        </w:rPr>
      </w:pPr>
      <w:r w:rsidRPr="008D05DE">
        <w:rPr>
          <w:rFonts w:ascii="Times New Roman" w:hAnsi="Times New Roman"/>
          <w:b/>
          <w:sz w:val="20"/>
          <w:szCs w:val="20"/>
          <w:lang w:val="es-ES"/>
        </w:rPr>
        <w:t>Editor: Dr. Rolando Eslava-Zapata</w:t>
      </w:r>
    </w:p>
    <w:p w14:paraId="4ED64169" w14:textId="77777777" w:rsidR="00044B45" w:rsidRPr="008D05DE" w:rsidRDefault="00044B45" w:rsidP="00A630DC">
      <w:pPr>
        <w:spacing w:after="0"/>
        <w:rPr>
          <w:rFonts w:ascii="Times New Roman" w:hAnsi="Times New Roman" w:cs="Times New Roman"/>
          <w:szCs w:val="24"/>
          <w:lang w:val="es-ES"/>
        </w:rPr>
      </w:pPr>
    </w:p>
    <w:p w14:paraId="2688A0E4" w14:textId="77777777" w:rsidR="00DE0FFD" w:rsidRPr="008D05DE" w:rsidRDefault="00E208F4" w:rsidP="00A630DC">
      <w:pPr>
        <w:pStyle w:val="NormalWeb"/>
        <w:shd w:val="clear" w:color="auto" w:fill="C6D9F1" w:themeFill="text2" w:themeFillTint="33"/>
        <w:spacing w:before="0" w:beforeAutospacing="0" w:after="0" w:afterAutospacing="0"/>
        <w:jc w:val="both"/>
        <w:rPr>
          <w:b/>
          <w:lang w:val="es-ES"/>
        </w:rPr>
      </w:pPr>
      <w:r w:rsidRPr="008D05DE">
        <w:rPr>
          <w:b/>
          <w:lang w:val="es-ES"/>
        </w:rPr>
        <w:t>Resumen</w:t>
      </w:r>
    </w:p>
    <w:p w14:paraId="278D2A13" w14:textId="1D2CA73D" w:rsidR="00632F17" w:rsidRPr="008D05DE" w:rsidRDefault="00BA6FC8" w:rsidP="00A630DC">
      <w:pPr>
        <w:pStyle w:val="NormalWeb"/>
        <w:shd w:val="clear" w:color="auto" w:fill="C6D9F1" w:themeFill="text2" w:themeFillTint="33"/>
        <w:tabs>
          <w:tab w:val="right" w:pos="8838"/>
        </w:tabs>
        <w:spacing w:before="0" w:beforeAutospacing="0" w:after="0" w:afterAutospacing="0"/>
        <w:jc w:val="both"/>
        <w:rPr>
          <w:bCs/>
          <w:lang w:val="es-ES"/>
        </w:rPr>
      </w:pPr>
      <w:r w:rsidRPr="00BA6FC8">
        <w:rPr>
          <w:bCs/>
          <w:lang w:val="es-ES"/>
        </w:rPr>
        <w:t xml:space="preserve">Una de las principales problemáticas que presentan las grandes empresas del sector comercio en Colombia, es el limitado flujo de efectivo para cumplir con las obligaciones de corto plazo, condicionando así su permanencia en el mercado, debido a la ineficiente administración del capital de trabajo. </w:t>
      </w:r>
      <w:r w:rsidR="00B75F0D">
        <w:rPr>
          <w:bCs/>
          <w:lang w:val="es-ES"/>
        </w:rPr>
        <w:t>E</w:t>
      </w:r>
      <w:r w:rsidRPr="00BA6FC8">
        <w:rPr>
          <w:bCs/>
          <w:lang w:val="es-ES"/>
        </w:rPr>
        <w:t>l presente documento tiene como objetivo relacionar el Ciclo de Caja de Efectivo</w:t>
      </w:r>
      <w:r w:rsidR="00B75F0D">
        <w:rPr>
          <w:bCs/>
          <w:lang w:val="es-ES"/>
        </w:rPr>
        <w:t xml:space="preserve"> </w:t>
      </w:r>
      <w:r w:rsidRPr="00BA6FC8">
        <w:rPr>
          <w:bCs/>
          <w:lang w:val="es-ES"/>
        </w:rPr>
        <w:t>y la rentabilidad de las grandes empresas del sector comercio en Colombia entre los años 2016 – 2022. Para lograrlo, se plante</w:t>
      </w:r>
      <w:r w:rsidR="00B75F0D">
        <w:rPr>
          <w:bCs/>
          <w:lang w:val="es-ES"/>
        </w:rPr>
        <w:t>a</w:t>
      </w:r>
      <w:r w:rsidRPr="00BA6FC8">
        <w:rPr>
          <w:bCs/>
          <w:lang w:val="es-ES"/>
        </w:rPr>
        <w:t xml:space="preserve"> la investigación desde el paradigma cuantitativo, debido a que se busca medir variables como, el ciclo de caja de efectivo, rotación de inventario, rotación de cartera, rotación de proveedores, rentabilidad del activo, rentabilidad del patrimonio, entre otros; con enfoque empírico-analítico, porque parte de la realidad objetiva plasmada en la información de los estados financieros. </w:t>
      </w:r>
      <w:r w:rsidR="00B75F0D">
        <w:rPr>
          <w:bCs/>
          <w:lang w:val="es-ES"/>
        </w:rPr>
        <w:t>E</w:t>
      </w:r>
      <w:r w:rsidRPr="00BA6FC8">
        <w:rPr>
          <w:bCs/>
          <w:lang w:val="es-ES"/>
        </w:rPr>
        <w:t xml:space="preserve">l método utilizado es deductivo con </w:t>
      </w:r>
      <w:r w:rsidRPr="00BA6FC8">
        <w:rPr>
          <w:bCs/>
          <w:lang w:val="es-ES"/>
        </w:rPr>
        <w:lastRenderedPageBreak/>
        <w:t>un tipo de investigación relacional. Se tom</w:t>
      </w:r>
      <w:r w:rsidR="00B75F0D">
        <w:rPr>
          <w:bCs/>
          <w:lang w:val="es-ES"/>
        </w:rPr>
        <w:t>a</w:t>
      </w:r>
      <w:r w:rsidRPr="00BA6FC8">
        <w:rPr>
          <w:bCs/>
          <w:lang w:val="es-ES"/>
        </w:rPr>
        <w:t xml:space="preserve"> como población objeto de estudio los estados financieros que proporcionaron las grandes empresas del sector comercio en Colombia ante la Superintendencia de Sociedades durante los años 2016, 2017, 2018, 2019, 2020, 2021 y 2022</w:t>
      </w:r>
      <w:r w:rsidR="00246BCE">
        <w:rPr>
          <w:bCs/>
          <w:lang w:val="es-ES"/>
        </w:rPr>
        <w:t>,</w:t>
      </w:r>
      <w:r w:rsidRPr="00BA6FC8">
        <w:rPr>
          <w:bCs/>
          <w:lang w:val="es-ES"/>
        </w:rPr>
        <w:t xml:space="preserve"> los cuales ascendieron a una cantidad de 666, 664, 657, 698, 653, 729 y 759 respectivamente. Como resultado significativo se obt</w:t>
      </w:r>
      <w:r w:rsidR="00B75F0D">
        <w:rPr>
          <w:bCs/>
          <w:lang w:val="es-ES"/>
        </w:rPr>
        <w:t xml:space="preserve">iene </w:t>
      </w:r>
      <w:r w:rsidRPr="00BA6FC8">
        <w:rPr>
          <w:bCs/>
          <w:lang w:val="es-ES"/>
        </w:rPr>
        <w:t>que el Ciclo de Caja de Efectivo dismin</w:t>
      </w:r>
      <w:r w:rsidR="00B75F0D">
        <w:rPr>
          <w:bCs/>
          <w:lang w:val="es-ES"/>
        </w:rPr>
        <w:t>uye</w:t>
      </w:r>
      <w:r w:rsidRPr="00BA6FC8">
        <w:rPr>
          <w:bCs/>
          <w:lang w:val="es-ES"/>
        </w:rPr>
        <w:t xml:space="preserve"> favorablemente, dado que pas</w:t>
      </w:r>
      <w:r w:rsidR="00B75F0D">
        <w:rPr>
          <w:bCs/>
          <w:lang w:val="es-ES"/>
        </w:rPr>
        <w:t>a</w:t>
      </w:r>
      <w:r w:rsidRPr="00BA6FC8">
        <w:rPr>
          <w:bCs/>
          <w:lang w:val="es-ES"/>
        </w:rPr>
        <w:t xml:space="preserve"> de 41 días en el año 2016 a 35 días en el año 2022, situación que generada por el decrecimiento de la r</w:t>
      </w:r>
      <w:r w:rsidR="004F60CC">
        <w:rPr>
          <w:bCs/>
          <w:lang w:val="es-ES"/>
        </w:rPr>
        <w:t>otación de cartera, la cual pas</w:t>
      </w:r>
      <w:r w:rsidR="00B75F0D">
        <w:rPr>
          <w:bCs/>
          <w:lang w:val="es-ES"/>
        </w:rPr>
        <w:t>a</w:t>
      </w:r>
      <w:r w:rsidRPr="00BA6FC8">
        <w:rPr>
          <w:bCs/>
          <w:lang w:val="es-ES"/>
        </w:rPr>
        <w:t xml:space="preserve"> de 65 días a 56 días. Además, se </w:t>
      </w:r>
      <w:r w:rsidR="00B75F0D">
        <w:rPr>
          <w:bCs/>
          <w:lang w:val="es-ES"/>
        </w:rPr>
        <w:t xml:space="preserve">evidencia </w:t>
      </w:r>
      <w:r w:rsidRPr="00BA6FC8">
        <w:rPr>
          <w:bCs/>
          <w:lang w:val="es-ES"/>
        </w:rPr>
        <w:t>que las grandes empresas en Colombia del sector comercio obt</w:t>
      </w:r>
      <w:r w:rsidR="00B75F0D">
        <w:rPr>
          <w:bCs/>
          <w:lang w:val="es-ES"/>
        </w:rPr>
        <w:t>ienen</w:t>
      </w:r>
      <w:r w:rsidRPr="00BA6FC8">
        <w:rPr>
          <w:bCs/>
          <w:lang w:val="es-ES"/>
        </w:rPr>
        <w:t xml:space="preserve"> una disminución en el Ciclo de Caja de Efectivo</w:t>
      </w:r>
      <w:r w:rsidR="00B75F0D">
        <w:rPr>
          <w:bCs/>
          <w:lang w:val="es-ES"/>
        </w:rPr>
        <w:t xml:space="preserve">; </w:t>
      </w:r>
      <w:r w:rsidRPr="00BA6FC8">
        <w:rPr>
          <w:bCs/>
          <w:lang w:val="es-ES"/>
        </w:rPr>
        <w:t>mientras que</w:t>
      </w:r>
      <w:r w:rsidR="00B75F0D">
        <w:rPr>
          <w:bCs/>
          <w:lang w:val="es-ES"/>
        </w:rPr>
        <w:t xml:space="preserve">, hay </w:t>
      </w:r>
      <w:r w:rsidRPr="00BA6FC8">
        <w:rPr>
          <w:bCs/>
          <w:lang w:val="es-ES"/>
        </w:rPr>
        <w:t xml:space="preserve">un incremento en la </w:t>
      </w:r>
      <w:r w:rsidR="00B75F0D">
        <w:rPr>
          <w:bCs/>
          <w:lang w:val="es-ES"/>
        </w:rPr>
        <w:t>r</w:t>
      </w:r>
      <w:r w:rsidRPr="00BA6FC8">
        <w:rPr>
          <w:bCs/>
          <w:lang w:val="es-ES"/>
        </w:rPr>
        <w:t xml:space="preserve">entabilidad del </w:t>
      </w:r>
      <w:r w:rsidR="00B75F0D">
        <w:rPr>
          <w:bCs/>
          <w:lang w:val="es-ES"/>
        </w:rPr>
        <w:t>a</w:t>
      </w:r>
      <w:r w:rsidRPr="00BA6FC8">
        <w:rPr>
          <w:bCs/>
          <w:lang w:val="es-ES"/>
        </w:rPr>
        <w:t xml:space="preserve">ctivo  y en la </w:t>
      </w:r>
      <w:r w:rsidR="00B75F0D">
        <w:rPr>
          <w:bCs/>
          <w:lang w:val="es-ES"/>
        </w:rPr>
        <w:t>R</w:t>
      </w:r>
      <w:r w:rsidRPr="00BA6FC8">
        <w:rPr>
          <w:bCs/>
          <w:lang w:val="es-ES"/>
        </w:rPr>
        <w:t>entabilidad del patrimonio.</w:t>
      </w:r>
    </w:p>
    <w:p w14:paraId="2431E46A" w14:textId="29E3B004" w:rsidR="00001BE4" w:rsidRPr="0014344A" w:rsidRDefault="00BA6FC8" w:rsidP="00A630DC">
      <w:pPr>
        <w:pStyle w:val="NormalWeb"/>
        <w:shd w:val="clear" w:color="auto" w:fill="C6D9F1" w:themeFill="text2" w:themeFillTint="33"/>
        <w:tabs>
          <w:tab w:val="right" w:pos="8838"/>
        </w:tabs>
        <w:spacing w:before="0" w:beforeAutospacing="0" w:after="0" w:afterAutospacing="0"/>
        <w:jc w:val="both"/>
        <w:rPr>
          <w:bCs/>
          <w:color w:val="000000"/>
          <w:lang w:val="es-ES"/>
        </w:rPr>
      </w:pPr>
      <w:r w:rsidRPr="00BA6FC8">
        <w:rPr>
          <w:b/>
          <w:color w:val="000000"/>
          <w:lang w:val="es-ES"/>
        </w:rPr>
        <w:t xml:space="preserve">Palabras Clave: </w:t>
      </w:r>
      <w:r w:rsidRPr="00BA6FC8">
        <w:rPr>
          <w:color w:val="000000"/>
          <w:lang w:val="es-ES"/>
        </w:rPr>
        <w:t xml:space="preserve">Grandes </w:t>
      </w:r>
      <w:r w:rsidR="00B75F0D" w:rsidRPr="00BA6FC8">
        <w:rPr>
          <w:color w:val="000000"/>
          <w:lang w:val="es-ES"/>
        </w:rPr>
        <w:t xml:space="preserve">Empresas, </w:t>
      </w:r>
      <w:r w:rsidRPr="00BA6FC8">
        <w:rPr>
          <w:color w:val="000000"/>
          <w:lang w:val="es-ES"/>
        </w:rPr>
        <w:t xml:space="preserve">Gestión </w:t>
      </w:r>
      <w:r w:rsidR="00B75F0D" w:rsidRPr="00BA6FC8">
        <w:rPr>
          <w:color w:val="000000"/>
          <w:lang w:val="es-ES"/>
        </w:rPr>
        <w:t xml:space="preserve">Financiera, </w:t>
      </w:r>
      <w:r w:rsidRPr="00BA6FC8">
        <w:rPr>
          <w:color w:val="000000"/>
          <w:lang w:val="es-ES"/>
        </w:rPr>
        <w:t>Liquidez</w:t>
      </w:r>
      <w:r w:rsidR="00B75F0D" w:rsidRPr="00BA6FC8">
        <w:rPr>
          <w:color w:val="000000"/>
          <w:lang w:val="es-ES"/>
        </w:rPr>
        <w:t xml:space="preserve">, </w:t>
      </w:r>
      <w:r w:rsidRPr="00BA6FC8">
        <w:rPr>
          <w:color w:val="000000"/>
          <w:lang w:val="es-ES"/>
        </w:rPr>
        <w:t xml:space="preserve">Ciclo </w:t>
      </w:r>
      <w:r w:rsidR="00B75F0D">
        <w:rPr>
          <w:color w:val="000000"/>
          <w:lang w:val="es-ES"/>
        </w:rPr>
        <w:t>d</w:t>
      </w:r>
      <w:r w:rsidR="00B75F0D" w:rsidRPr="00BA6FC8">
        <w:rPr>
          <w:color w:val="000000"/>
          <w:lang w:val="es-ES"/>
        </w:rPr>
        <w:t xml:space="preserve">e </w:t>
      </w:r>
      <w:r w:rsidRPr="00BA6FC8">
        <w:rPr>
          <w:color w:val="000000"/>
          <w:lang w:val="es-ES"/>
        </w:rPr>
        <w:t xml:space="preserve">Caja </w:t>
      </w:r>
      <w:r w:rsidR="00B75F0D">
        <w:rPr>
          <w:color w:val="000000"/>
          <w:lang w:val="es-ES"/>
        </w:rPr>
        <w:t>d</w:t>
      </w:r>
      <w:r w:rsidR="00B75F0D" w:rsidRPr="00BA6FC8">
        <w:rPr>
          <w:color w:val="000000"/>
          <w:lang w:val="es-ES"/>
        </w:rPr>
        <w:t xml:space="preserve">e </w:t>
      </w:r>
      <w:r w:rsidRPr="00BA6FC8">
        <w:rPr>
          <w:color w:val="000000"/>
          <w:lang w:val="es-ES"/>
        </w:rPr>
        <w:t>Efectivo</w:t>
      </w:r>
      <w:r w:rsidR="00B75F0D" w:rsidRPr="00BA6FC8">
        <w:rPr>
          <w:color w:val="000000"/>
          <w:lang w:val="es-ES"/>
        </w:rPr>
        <w:t xml:space="preserve">, </w:t>
      </w:r>
      <w:r w:rsidRPr="00BA6FC8">
        <w:rPr>
          <w:color w:val="000000"/>
          <w:lang w:val="es-ES"/>
        </w:rPr>
        <w:t>Rentabilidad</w:t>
      </w:r>
    </w:p>
    <w:p w14:paraId="6505A64F" w14:textId="77777777" w:rsidR="00BA6FC8" w:rsidRPr="008D05DE" w:rsidRDefault="00BA6FC8" w:rsidP="00A630DC">
      <w:pPr>
        <w:pStyle w:val="NormalWeb"/>
        <w:shd w:val="clear" w:color="auto" w:fill="C6D9F1" w:themeFill="text2" w:themeFillTint="33"/>
        <w:tabs>
          <w:tab w:val="right" w:pos="8838"/>
        </w:tabs>
        <w:spacing w:before="0" w:beforeAutospacing="0" w:after="0" w:afterAutospacing="0"/>
        <w:jc w:val="both"/>
        <w:rPr>
          <w:bCs/>
          <w:color w:val="000000"/>
          <w:lang w:val="es-ES"/>
        </w:rPr>
      </w:pPr>
    </w:p>
    <w:p w14:paraId="243992F0" w14:textId="77777777" w:rsidR="00790B4B" w:rsidRPr="009F612E" w:rsidRDefault="006E2769" w:rsidP="00A630DC">
      <w:pPr>
        <w:pStyle w:val="NormalWeb"/>
        <w:shd w:val="clear" w:color="auto" w:fill="C6D9F1" w:themeFill="text2" w:themeFillTint="33"/>
        <w:spacing w:before="0" w:beforeAutospacing="0" w:after="0" w:afterAutospacing="0"/>
        <w:jc w:val="both"/>
        <w:rPr>
          <w:b/>
          <w:lang w:val="en-US"/>
        </w:rPr>
      </w:pPr>
      <w:r w:rsidRPr="009F612E">
        <w:rPr>
          <w:b/>
          <w:lang w:val="en-US"/>
        </w:rPr>
        <w:t>Abstract</w:t>
      </w:r>
    </w:p>
    <w:p w14:paraId="4DBFFA21" w14:textId="35B05A17" w:rsidR="00B75F0D" w:rsidRDefault="00AC1EEA" w:rsidP="00A630DC">
      <w:pPr>
        <w:shd w:val="clear" w:color="auto" w:fill="C6D9F1" w:themeFill="text2" w:themeFillTint="33"/>
        <w:spacing w:after="0"/>
        <w:rPr>
          <w:rFonts w:ascii="Times New Roman" w:hAnsi="Times New Roman" w:cs="Times New Roman"/>
          <w:bCs/>
          <w:szCs w:val="24"/>
          <w:lang w:val="en-US"/>
        </w:rPr>
      </w:pPr>
      <w:r w:rsidRPr="00AC1EEA">
        <w:rPr>
          <w:rFonts w:ascii="Times New Roman" w:hAnsi="Times New Roman" w:cs="Times New Roman"/>
          <w:bCs/>
          <w:szCs w:val="24"/>
          <w:lang w:val="en-US"/>
        </w:rPr>
        <w:t xml:space="preserve">One of the main problems faced by large companies in the Colombian commerce sector is the limited cash flow to meet short-term obligations, thus conditioning their permanence in the market due to the inefficient management of working capital. The objective of this paper is to relate the Cash </w:t>
      </w:r>
      <w:proofErr w:type="spellStart"/>
      <w:r w:rsidRPr="00AC1EEA">
        <w:rPr>
          <w:rFonts w:ascii="Times New Roman" w:hAnsi="Times New Roman" w:cs="Times New Roman"/>
          <w:bCs/>
          <w:szCs w:val="24"/>
          <w:lang w:val="en-US"/>
        </w:rPr>
        <w:t>Cash</w:t>
      </w:r>
      <w:proofErr w:type="spellEnd"/>
      <w:r w:rsidRPr="00AC1EEA">
        <w:rPr>
          <w:rFonts w:ascii="Times New Roman" w:hAnsi="Times New Roman" w:cs="Times New Roman"/>
          <w:bCs/>
          <w:szCs w:val="24"/>
          <w:lang w:val="en-US"/>
        </w:rPr>
        <w:t xml:space="preserve"> Flow Cycle and the profitability of large companies in the commerce sector in Colombia between the years 2016 - 2022. The research is based on the quantitative paradigm because it seeks to measure variables such as the cash cycle, inventory turnover, portfolio turnover, supplier turnover, the profitability of assets, and profitability of equity, among others, with an empirical-analytical approach. After all, it starts from the objective reality reflected in the information of the financial statements. The method used is deductive with a relational type of research. The financial statements provided by the large companies of the commerce sector in Colombia to the Superintendence of Companies during the years 2016, 2017, 2018, 2019, 2020, 2021, and 2022 amounted to an amount of 666, 664, 657, 698, 653, 729, and 759, respectively, are taken as the population object of study. As a significant result, the cash cycle decreases favorably from 41 days in 2016 to 35 days in 2022, a situation generated by the decrease in the portfolio turnover, which goes from 65 days to 56 days. In addition, the large companies in Colombia in the commerce sector experience a decrease in the cash cycle. At the same time, there is an increase in the profitability of assets and the return on equity.</w:t>
      </w:r>
    </w:p>
    <w:p w14:paraId="6FB8BCAF" w14:textId="096154DF" w:rsidR="00A931DA" w:rsidRPr="009F612E" w:rsidRDefault="00EE3417" w:rsidP="00A630DC">
      <w:pPr>
        <w:shd w:val="clear" w:color="auto" w:fill="C6D9F1" w:themeFill="text2" w:themeFillTint="33"/>
        <w:spacing w:after="0"/>
        <w:rPr>
          <w:rFonts w:ascii="Times New Roman" w:hAnsi="Times New Roman" w:cs="Times New Roman"/>
          <w:bCs/>
          <w:lang w:val="en-US"/>
        </w:rPr>
      </w:pPr>
      <w:r w:rsidRPr="009F612E">
        <w:rPr>
          <w:rFonts w:ascii="Times New Roman" w:hAnsi="Times New Roman" w:cs="Times New Roman"/>
          <w:b/>
          <w:szCs w:val="24"/>
          <w:lang w:val="en-US"/>
        </w:rPr>
        <w:t>Keywords</w:t>
      </w:r>
      <w:r w:rsidR="00A931DA" w:rsidRPr="009F612E">
        <w:rPr>
          <w:rFonts w:ascii="Times New Roman" w:hAnsi="Times New Roman" w:cs="Times New Roman"/>
          <w:b/>
          <w:szCs w:val="24"/>
          <w:lang w:val="en-US"/>
        </w:rPr>
        <w:t xml:space="preserve">: </w:t>
      </w:r>
      <w:r w:rsidR="00D57D87" w:rsidRPr="00D57D87">
        <w:rPr>
          <w:rFonts w:ascii="Times New Roman" w:hAnsi="Times New Roman" w:cs="Times New Roman"/>
          <w:szCs w:val="24"/>
          <w:lang w:val="en-US"/>
        </w:rPr>
        <w:t>Big Companies, Financial Management, Liquidity, Cash Conversion Cycle, Profitability</w:t>
      </w:r>
    </w:p>
    <w:p w14:paraId="2804E9AF" w14:textId="77777777" w:rsidR="00982A12" w:rsidRPr="009F612E" w:rsidRDefault="00982A12" w:rsidP="00A630DC">
      <w:pPr>
        <w:spacing w:after="0"/>
        <w:rPr>
          <w:rFonts w:ascii="Times New Roman" w:eastAsia="Times New Roman" w:hAnsi="Times New Roman" w:cs="Times New Roman"/>
          <w:bCs/>
          <w:szCs w:val="24"/>
          <w:lang w:val="en-US" w:eastAsia="es-ES"/>
        </w:rPr>
      </w:pPr>
    </w:p>
    <w:p w14:paraId="44C75957" w14:textId="77777777" w:rsidR="00E208F4" w:rsidRPr="0014344A" w:rsidRDefault="00E208F4" w:rsidP="00A630DC">
      <w:pPr>
        <w:spacing w:after="0"/>
        <w:ind w:left="567" w:right="567"/>
        <w:jc w:val="center"/>
        <w:rPr>
          <w:rFonts w:ascii="Times New Roman" w:hAnsi="Times New Roman"/>
          <w:b/>
          <w:sz w:val="20"/>
          <w:szCs w:val="20"/>
          <w:lang w:val="es-ES"/>
        </w:rPr>
      </w:pPr>
      <w:r w:rsidRPr="0014344A">
        <w:rPr>
          <w:rFonts w:ascii="Times New Roman" w:hAnsi="Times New Roman"/>
          <w:b/>
          <w:sz w:val="20"/>
          <w:szCs w:val="20"/>
          <w:lang w:val="es-ES"/>
        </w:rPr>
        <w:t>SUMARIO</w:t>
      </w:r>
    </w:p>
    <w:p w14:paraId="05C444BA" w14:textId="5E6265D3" w:rsidR="00FC4953" w:rsidRPr="008D05DE" w:rsidRDefault="00FC4953" w:rsidP="00A630DC">
      <w:pPr>
        <w:spacing w:after="0"/>
        <w:ind w:left="567" w:right="567"/>
        <w:rPr>
          <w:rFonts w:ascii="Times New Roman" w:hAnsi="Times New Roman" w:cs="Times New Roman"/>
          <w:sz w:val="20"/>
          <w:szCs w:val="20"/>
          <w:lang w:val="es-ES"/>
        </w:rPr>
      </w:pPr>
      <w:r w:rsidRPr="00FC4953">
        <w:rPr>
          <w:rFonts w:ascii="Times New Roman" w:hAnsi="Times New Roman" w:cs="Times New Roman"/>
          <w:sz w:val="20"/>
          <w:szCs w:val="20"/>
          <w:lang w:val="es-ES"/>
        </w:rPr>
        <w:t>INTRODUCCIÓN. ESQUEMA DE RESOLUCIÓN. - I. Problema de Investigación. - II. Metodología</w:t>
      </w:r>
      <w:r w:rsidR="00C444A7" w:rsidRPr="00FC4953">
        <w:rPr>
          <w:rFonts w:ascii="Times New Roman" w:hAnsi="Times New Roman" w:cs="Times New Roman"/>
          <w:sz w:val="20"/>
          <w:szCs w:val="20"/>
          <w:lang w:val="es-ES"/>
        </w:rPr>
        <w:t>. –</w:t>
      </w:r>
      <w:r w:rsidRPr="00FC4953">
        <w:rPr>
          <w:rFonts w:ascii="Times New Roman" w:hAnsi="Times New Roman" w:cs="Times New Roman"/>
          <w:sz w:val="20"/>
          <w:szCs w:val="20"/>
          <w:lang w:val="es-ES"/>
        </w:rPr>
        <w:t xml:space="preserve"> III. Plan de redacción. - 1. Ciclo de Caja de Efectivo (CCE). </w:t>
      </w:r>
      <w:r w:rsidR="001F1B3D">
        <w:rPr>
          <w:rFonts w:ascii="Times New Roman" w:hAnsi="Times New Roman" w:cs="Times New Roman"/>
          <w:sz w:val="20"/>
          <w:szCs w:val="20"/>
          <w:lang w:val="es-ES"/>
        </w:rPr>
        <w:t>-</w:t>
      </w:r>
      <w:r w:rsidRPr="00FC4953">
        <w:rPr>
          <w:rFonts w:ascii="Times New Roman" w:hAnsi="Times New Roman" w:cs="Times New Roman"/>
          <w:sz w:val="20"/>
          <w:szCs w:val="20"/>
          <w:lang w:val="es-ES"/>
        </w:rPr>
        <w:t xml:space="preserve"> 2 Rotación de inventario</w:t>
      </w:r>
      <w:r w:rsidR="001F1B3D">
        <w:rPr>
          <w:rFonts w:ascii="Times New Roman" w:hAnsi="Times New Roman" w:cs="Times New Roman"/>
          <w:sz w:val="20"/>
          <w:szCs w:val="20"/>
          <w:lang w:val="es-ES"/>
        </w:rPr>
        <w:t>. -</w:t>
      </w:r>
      <w:r w:rsidRPr="00FC4953">
        <w:rPr>
          <w:rFonts w:ascii="Times New Roman" w:hAnsi="Times New Roman" w:cs="Times New Roman"/>
          <w:sz w:val="20"/>
          <w:szCs w:val="20"/>
          <w:lang w:val="es-ES"/>
        </w:rPr>
        <w:t xml:space="preserve"> 3. Rotación de cartera</w:t>
      </w:r>
      <w:r w:rsidR="001F1B3D">
        <w:rPr>
          <w:rFonts w:ascii="Times New Roman" w:hAnsi="Times New Roman" w:cs="Times New Roman"/>
          <w:sz w:val="20"/>
          <w:szCs w:val="20"/>
          <w:lang w:val="es-ES"/>
        </w:rPr>
        <w:t>. -</w:t>
      </w:r>
      <w:r w:rsidRPr="00FC4953">
        <w:rPr>
          <w:rFonts w:ascii="Times New Roman" w:hAnsi="Times New Roman" w:cs="Times New Roman"/>
          <w:sz w:val="20"/>
          <w:szCs w:val="20"/>
          <w:lang w:val="es-ES"/>
        </w:rPr>
        <w:t xml:space="preserve"> 4</w:t>
      </w:r>
      <w:r w:rsidR="00557129">
        <w:rPr>
          <w:rFonts w:ascii="Times New Roman" w:hAnsi="Times New Roman" w:cs="Times New Roman"/>
          <w:sz w:val="20"/>
          <w:szCs w:val="20"/>
          <w:lang w:val="es-ES"/>
        </w:rPr>
        <w:t>. Rotación de proveedores</w:t>
      </w:r>
      <w:r w:rsidRPr="00FC4953">
        <w:rPr>
          <w:rFonts w:ascii="Times New Roman" w:hAnsi="Times New Roman" w:cs="Times New Roman"/>
          <w:sz w:val="20"/>
          <w:szCs w:val="20"/>
          <w:lang w:val="es-ES"/>
        </w:rPr>
        <w:t>.</w:t>
      </w:r>
      <w:r w:rsidR="00C444A7">
        <w:rPr>
          <w:rFonts w:ascii="Times New Roman" w:hAnsi="Times New Roman" w:cs="Times New Roman"/>
          <w:sz w:val="20"/>
          <w:szCs w:val="20"/>
          <w:lang w:val="es-ES"/>
        </w:rPr>
        <w:t xml:space="preserve"> </w:t>
      </w:r>
      <w:r w:rsidR="001F1B3D">
        <w:rPr>
          <w:rFonts w:ascii="Times New Roman" w:hAnsi="Times New Roman" w:cs="Times New Roman"/>
          <w:sz w:val="20"/>
          <w:szCs w:val="20"/>
          <w:lang w:val="es-ES"/>
        </w:rPr>
        <w:t xml:space="preserve">- </w:t>
      </w:r>
      <w:r w:rsidR="00557129">
        <w:rPr>
          <w:rFonts w:ascii="Times New Roman" w:hAnsi="Times New Roman" w:cs="Times New Roman"/>
          <w:sz w:val="20"/>
          <w:szCs w:val="20"/>
          <w:lang w:val="es-ES"/>
        </w:rPr>
        <w:t xml:space="preserve">5. </w:t>
      </w:r>
      <w:r w:rsidR="00C444A7">
        <w:rPr>
          <w:rFonts w:ascii="Times New Roman" w:hAnsi="Times New Roman" w:cs="Times New Roman"/>
          <w:sz w:val="20"/>
          <w:szCs w:val="20"/>
          <w:lang w:val="es-ES"/>
        </w:rPr>
        <w:t>Indicadores de rentabilidad - IV</w:t>
      </w:r>
      <w:r w:rsidRPr="00FC4953">
        <w:rPr>
          <w:rFonts w:ascii="Times New Roman" w:hAnsi="Times New Roman" w:cs="Times New Roman"/>
          <w:sz w:val="20"/>
          <w:szCs w:val="20"/>
          <w:lang w:val="es-ES"/>
        </w:rPr>
        <w:t>. Resultados de investigación. – CONCLUSIONES. – REFERENCIAS</w:t>
      </w:r>
    </w:p>
    <w:p w14:paraId="46417464" w14:textId="77777777" w:rsidR="00351310" w:rsidRPr="008D05DE" w:rsidRDefault="00351310" w:rsidP="00A630DC">
      <w:pPr>
        <w:pStyle w:val="NormalWeb"/>
        <w:spacing w:before="0" w:beforeAutospacing="0" w:after="0" w:afterAutospacing="0"/>
        <w:jc w:val="both"/>
        <w:rPr>
          <w:lang w:val="es-ES"/>
        </w:rPr>
      </w:pPr>
    </w:p>
    <w:p w14:paraId="581AE809" w14:textId="77777777" w:rsidR="00790B4B" w:rsidRPr="008D05DE" w:rsidRDefault="00E208F4" w:rsidP="00A630DC">
      <w:pPr>
        <w:pStyle w:val="NormalWeb"/>
        <w:spacing w:before="0" w:beforeAutospacing="0" w:after="0" w:afterAutospacing="0"/>
        <w:jc w:val="both"/>
        <w:rPr>
          <w:b/>
          <w:lang w:val="es-ES"/>
        </w:rPr>
      </w:pPr>
      <w:r w:rsidRPr="008D05DE">
        <w:rPr>
          <w:b/>
          <w:lang w:val="es-ES"/>
        </w:rPr>
        <w:t>Introducción</w:t>
      </w:r>
    </w:p>
    <w:p w14:paraId="33F0D189" w14:textId="77777777" w:rsidR="00364095" w:rsidRDefault="00364095" w:rsidP="00A630DC">
      <w:pPr>
        <w:spacing w:after="0"/>
        <w:ind w:firstLine="284"/>
        <w:rPr>
          <w:rFonts w:ascii="Times New Roman" w:eastAsia="Arial" w:hAnsi="Times New Roman" w:cs="Times New Roman"/>
          <w:bCs/>
          <w:szCs w:val="24"/>
          <w:lang w:val="es-ES" w:eastAsia="es-CO"/>
        </w:rPr>
      </w:pPr>
    </w:p>
    <w:p w14:paraId="358A5FF1" w14:textId="316EE8CD" w:rsidR="00364095" w:rsidRPr="00364095" w:rsidRDefault="00364095" w:rsidP="00A630DC">
      <w:pPr>
        <w:spacing w:after="0"/>
        <w:ind w:firstLine="284"/>
        <w:rPr>
          <w:rFonts w:ascii="Times New Roman" w:eastAsia="Arial" w:hAnsi="Times New Roman" w:cs="Times New Roman"/>
          <w:bCs/>
          <w:szCs w:val="24"/>
          <w:lang w:val="es-ES" w:eastAsia="es-CO"/>
        </w:rPr>
      </w:pPr>
      <w:r w:rsidRPr="00364095">
        <w:rPr>
          <w:rFonts w:ascii="Times New Roman" w:eastAsia="Arial" w:hAnsi="Times New Roman" w:cs="Times New Roman"/>
          <w:bCs/>
          <w:szCs w:val="24"/>
          <w:lang w:val="es-ES" w:eastAsia="es-CO"/>
        </w:rPr>
        <w:t xml:space="preserve">Las grandes empresas del sector comercio hacen parte fundamental del tejido empresarial colombiano, de acuerdo al Departamento Administrativo Nacional de Estadística </w:t>
      </w:r>
      <w:r w:rsidRPr="00364095">
        <w:rPr>
          <w:rFonts w:ascii="Times New Roman" w:eastAsia="Arial" w:hAnsi="Times New Roman" w:cs="Times New Roman"/>
          <w:bCs/>
          <w:szCs w:val="24"/>
          <w:lang w:val="es-ES" w:eastAsia="es-CO"/>
        </w:rPr>
        <w:fldChar w:fldCharType="begin" w:fldLock="1"/>
      </w:r>
      <w:r w:rsidRPr="00364095">
        <w:rPr>
          <w:rFonts w:ascii="Times New Roman" w:eastAsia="Arial" w:hAnsi="Times New Roman" w:cs="Times New Roman"/>
          <w:bCs/>
          <w:szCs w:val="24"/>
          <w:lang w:val="es-ES" w:eastAsia="es-CO"/>
        </w:rPr>
        <w:instrText>ADDIN CSL_CITATION {"citationItems":[{"id":"ITEM-1","itemData":{"author":[{"dropping-particle":"","family":"Dane","given":"","non-dropping-particle":"","parse-names":false,"suffix":""}],"id":"ITEM-1","issued":{"date-parts":[["2020"]]},"page":"1-29","title":"Boletín Técnico Boletín Técnico","type":"article-magazine"},"uris":["http://www.mendeley.com/documents/?uuid=0536e861-8c67-4557-a03e-3088878730be"]}],"mendeley":{"formattedCitation":"(Dane, 2020)","plainTextFormattedCitation":"(Dane, 2020)","previouslyFormattedCitation":"(Dane, 2020)"},"properties":{"noteIndex":0},"schema":"https://github.com/citation-style-language/schema/raw/master/csl-citation.json"}</w:instrText>
      </w:r>
      <w:r w:rsidRPr="00364095">
        <w:rPr>
          <w:rFonts w:ascii="Times New Roman" w:eastAsia="Arial" w:hAnsi="Times New Roman" w:cs="Times New Roman"/>
          <w:bCs/>
          <w:szCs w:val="24"/>
          <w:lang w:val="es-ES" w:eastAsia="es-CO"/>
        </w:rPr>
        <w:fldChar w:fldCharType="separate"/>
      </w:r>
      <w:r w:rsidRPr="00364095">
        <w:rPr>
          <w:rFonts w:ascii="Times New Roman" w:eastAsia="Arial" w:hAnsi="Times New Roman" w:cs="Times New Roman"/>
          <w:bCs/>
          <w:noProof/>
          <w:szCs w:val="24"/>
          <w:lang w:val="es-ES" w:eastAsia="es-CO"/>
        </w:rPr>
        <w:t>(Dane, 2020)</w:t>
      </w:r>
      <w:r w:rsidRPr="00364095">
        <w:rPr>
          <w:rFonts w:ascii="Times New Roman" w:eastAsia="Arial" w:hAnsi="Times New Roman" w:cs="Times New Roman"/>
          <w:bCs/>
          <w:szCs w:val="24"/>
          <w:lang w:val="es-ES" w:eastAsia="es-CO"/>
        </w:rPr>
        <w:fldChar w:fldCharType="end"/>
      </w:r>
      <w:r w:rsidRPr="00364095">
        <w:rPr>
          <w:rFonts w:ascii="Times New Roman" w:eastAsia="Arial" w:hAnsi="Times New Roman" w:cs="Times New Roman"/>
          <w:bCs/>
          <w:szCs w:val="24"/>
          <w:lang w:val="es-ES" w:eastAsia="es-CO"/>
        </w:rPr>
        <w:t>, reveló que 9</w:t>
      </w:r>
      <w:r w:rsidR="00DF2D52">
        <w:rPr>
          <w:rFonts w:ascii="Times New Roman" w:eastAsia="Arial" w:hAnsi="Times New Roman" w:cs="Times New Roman"/>
          <w:bCs/>
          <w:szCs w:val="24"/>
          <w:lang w:val="es-ES" w:eastAsia="es-CO"/>
        </w:rPr>
        <w:t>.</w:t>
      </w:r>
      <w:r w:rsidRPr="00364095">
        <w:rPr>
          <w:rFonts w:ascii="Times New Roman" w:eastAsia="Arial" w:hAnsi="Times New Roman" w:cs="Times New Roman"/>
          <w:bCs/>
          <w:szCs w:val="24"/>
          <w:lang w:val="es-ES" w:eastAsia="es-CO"/>
        </w:rPr>
        <w:t>859 compañías tenían ingresos de más de $1.820 millones. De estas empresas, 5</w:t>
      </w:r>
      <w:r w:rsidR="00DF2D52">
        <w:rPr>
          <w:rFonts w:ascii="Times New Roman" w:eastAsia="Arial" w:hAnsi="Times New Roman" w:cs="Times New Roman"/>
          <w:bCs/>
          <w:szCs w:val="24"/>
          <w:lang w:val="es-ES" w:eastAsia="es-CO"/>
        </w:rPr>
        <w:t>.</w:t>
      </w:r>
      <w:r w:rsidRPr="00364095">
        <w:rPr>
          <w:rFonts w:ascii="Times New Roman" w:eastAsia="Arial" w:hAnsi="Times New Roman" w:cs="Times New Roman"/>
          <w:bCs/>
          <w:szCs w:val="24"/>
          <w:lang w:val="es-ES" w:eastAsia="es-CO"/>
        </w:rPr>
        <w:t>307 se dedican al comercio mayorista, 3,598 al comercio minorista y 954 al comercio, mantenimiento y reparación de automóviles.</w:t>
      </w:r>
      <w:r w:rsidR="00AC1EEA">
        <w:rPr>
          <w:rFonts w:ascii="Times New Roman" w:eastAsia="Arial" w:hAnsi="Times New Roman" w:cs="Times New Roman"/>
          <w:bCs/>
          <w:szCs w:val="24"/>
          <w:lang w:val="es-ES" w:eastAsia="es-CO"/>
        </w:rPr>
        <w:t xml:space="preserve"> </w:t>
      </w:r>
      <w:r w:rsidRPr="00364095">
        <w:rPr>
          <w:rFonts w:ascii="Times New Roman" w:eastAsia="Arial" w:hAnsi="Times New Roman" w:cs="Times New Roman"/>
          <w:bCs/>
          <w:szCs w:val="24"/>
          <w:lang w:val="es-ES" w:eastAsia="es-CO"/>
        </w:rPr>
        <w:t xml:space="preserve">En lo que respecta al análisis específico, la mayor </w:t>
      </w:r>
      <w:r w:rsidRPr="00364095">
        <w:rPr>
          <w:rFonts w:ascii="Times New Roman" w:eastAsia="Arial" w:hAnsi="Times New Roman" w:cs="Times New Roman"/>
          <w:bCs/>
          <w:szCs w:val="24"/>
          <w:lang w:val="es-ES" w:eastAsia="es-CO"/>
        </w:rPr>
        <w:lastRenderedPageBreak/>
        <w:t>parte de los ingresos operativos provienen de los macro sectores de comercio y servicio, con un 27,90% en comercio y un 24,70% en servicios, respectivamente</w:t>
      </w:r>
      <w:r w:rsidR="005A55EE">
        <w:rPr>
          <w:rFonts w:ascii="Times New Roman" w:eastAsia="Arial" w:hAnsi="Times New Roman" w:cs="Times New Roman"/>
          <w:bCs/>
          <w:szCs w:val="24"/>
          <w:lang w:val="es-ES" w:eastAsia="es-CO"/>
        </w:rPr>
        <w:t xml:space="preserve">, </w:t>
      </w:r>
      <w:r w:rsidR="005A55EE">
        <w:rPr>
          <w:rFonts w:ascii="Times New Roman" w:eastAsia="Arial" w:hAnsi="Times New Roman" w:cs="Times New Roman"/>
          <w:bCs/>
          <w:szCs w:val="24"/>
          <w:lang w:val="es-ES" w:eastAsia="es-CO"/>
        </w:rPr>
        <w:fldChar w:fldCharType="begin" w:fldLock="1"/>
      </w:r>
      <w:r w:rsidR="00431A4F">
        <w:rPr>
          <w:rFonts w:ascii="Times New Roman" w:eastAsia="Arial" w:hAnsi="Times New Roman" w:cs="Times New Roman"/>
          <w:bCs/>
          <w:szCs w:val="24"/>
          <w:lang w:val="es-ES" w:eastAsia="es-CO"/>
        </w:rPr>
        <w:instrText>ADDIN CSL_CITATION {"citationItems":[{"id":"ITEM-1","itemData":{"ISBN":"9780333227794","URL":"https://www.supersociedades.gov.co/documents/20122/6182709/1000_Empresas_F.pdf/e6f8e60d-5559-751b-d136-6a8f826bc68e?t=1687526546381","abstract":"La Superintendencia de Sociedades con el propósito de contribuir al país y al sector empresarial, la Superintendencia de Sociedades comparte el día de hoy la Información Financiera con corte a 31 de diciembre de 2022, remitida por las Sociedades y la cual reposa en el Sistema Integrado de Información Societaria (SIIS). Adicional, estará a disposición un informe escrito de las mil Sociedades más grandes del país, identificadas por sus ingresos operacionales, con información propia y de otras fuentes públicas.","author":[{"dropping-particle":"","family":"Superintendencia de sociedades","given":"","non-dropping-particle":"","parse-names":false,"suffix":""}],"container-title":"1000 Empresas Más Grandes","id":"ITEM-1","issue":"1","issued":{"date-parts":[["2023"]]},"page":"56","title":"1000 Empresas Más Grandes","type":"webpage"},"uris":["http://www.mendeley.com/documents/?uuid=f5cb7628-37ab-4e38-87aa-21b4d49e6c11"]}],"mendeley":{"formattedCitation":"(Superintendencia de sociedades, 2023)","plainTextFormattedCitation":"(Superintendencia de sociedades, 2023)","previouslyFormattedCitation":"(Superintendencia de sociedades, 2023)"},"properties":{"noteIndex":0},"schema":"https://github.com/citation-style-language/schema/raw/master/csl-citation.json"}</w:instrText>
      </w:r>
      <w:r w:rsidR="005A55EE">
        <w:rPr>
          <w:rFonts w:ascii="Times New Roman" w:eastAsia="Arial" w:hAnsi="Times New Roman" w:cs="Times New Roman"/>
          <w:bCs/>
          <w:szCs w:val="24"/>
          <w:lang w:val="es-ES" w:eastAsia="es-CO"/>
        </w:rPr>
        <w:fldChar w:fldCharType="separate"/>
      </w:r>
      <w:r w:rsidR="005A55EE" w:rsidRPr="005A55EE">
        <w:rPr>
          <w:rFonts w:ascii="Times New Roman" w:eastAsia="Arial" w:hAnsi="Times New Roman" w:cs="Times New Roman"/>
          <w:bCs/>
          <w:noProof/>
          <w:szCs w:val="24"/>
          <w:lang w:val="es-ES" w:eastAsia="es-CO"/>
        </w:rPr>
        <w:t>(Superintendencia de sociedades, 2023)</w:t>
      </w:r>
      <w:r w:rsidR="005A55EE">
        <w:rPr>
          <w:rFonts w:ascii="Times New Roman" w:eastAsia="Arial" w:hAnsi="Times New Roman" w:cs="Times New Roman"/>
          <w:bCs/>
          <w:szCs w:val="24"/>
          <w:lang w:val="es-ES" w:eastAsia="es-CO"/>
        </w:rPr>
        <w:fldChar w:fldCharType="end"/>
      </w:r>
      <w:r w:rsidR="005A55EE">
        <w:rPr>
          <w:rFonts w:ascii="Times New Roman" w:eastAsia="Arial" w:hAnsi="Times New Roman" w:cs="Times New Roman"/>
          <w:bCs/>
          <w:szCs w:val="24"/>
          <w:lang w:val="es-ES" w:eastAsia="es-CO"/>
        </w:rPr>
        <w:t>.</w:t>
      </w:r>
      <w:r w:rsidRPr="00364095">
        <w:rPr>
          <w:rFonts w:ascii="Times New Roman" w:eastAsia="Arial" w:hAnsi="Times New Roman" w:cs="Times New Roman"/>
          <w:bCs/>
          <w:szCs w:val="24"/>
          <w:lang w:val="es-ES" w:eastAsia="es-CO"/>
        </w:rPr>
        <w:t xml:space="preserve"> Además, el sector comercial de Colombia experimentó un aumento del 4,90%, superando el </w:t>
      </w:r>
      <w:r w:rsidR="005A4466">
        <w:rPr>
          <w:rFonts w:ascii="Times New Roman" w:eastAsia="Arial" w:hAnsi="Times New Roman" w:cs="Times New Roman"/>
          <w:bCs/>
          <w:szCs w:val="24"/>
          <w:lang w:val="es-ES" w:eastAsia="es-CO"/>
        </w:rPr>
        <w:t>incremento</w:t>
      </w:r>
      <w:r w:rsidRPr="00364095">
        <w:rPr>
          <w:rFonts w:ascii="Times New Roman" w:eastAsia="Arial" w:hAnsi="Times New Roman" w:cs="Times New Roman"/>
          <w:bCs/>
          <w:szCs w:val="24"/>
          <w:lang w:val="es-ES" w:eastAsia="es-CO"/>
        </w:rPr>
        <w:t xml:space="preserve"> del 2,70% registrado el año anterior. Esto representó una contribución significativa al crecimiento económico total, aportando un 0,90%. El aumento en la demanda interna y consumo fortaleció tanto el comercio minorista como mayorista, así como los servicios de alojamiento y comida. </w:t>
      </w:r>
      <w:r w:rsidRPr="00364095">
        <w:rPr>
          <w:rFonts w:ascii="Times New Roman" w:eastAsia="Arial" w:hAnsi="Times New Roman" w:cs="Times New Roman"/>
          <w:bCs/>
          <w:szCs w:val="24"/>
          <w:lang w:val="es-ES" w:eastAsia="es-CO"/>
        </w:rPr>
        <w:fldChar w:fldCharType="begin" w:fldLock="1"/>
      </w:r>
      <w:r w:rsidRPr="00364095">
        <w:rPr>
          <w:rFonts w:ascii="Times New Roman" w:eastAsia="Arial" w:hAnsi="Times New Roman" w:cs="Times New Roman"/>
          <w:bCs/>
          <w:szCs w:val="24"/>
          <w:lang w:val="es-ES" w:eastAsia="es-CO"/>
        </w:rPr>
        <w:instrText>ADDIN CSL_CITATION {"citationItems":[{"id":"ITEM-1","itemData":{"author":[{"dropping-particle":"","family":"Delgado","given":"Martha Elena","non-dropping-particle":"","parse-names":false,"suffix":""},{"dropping-particle":"","family":"Delgado","given":"Martha Elena","non-dropping-particle":"","parse-names":false,"suffix":""},{"dropping-particle":"","family":"Russi","given":"David","non-dropping-particle":"","parse-names":false,"suffix":""}],"id":"ITEM-1","issued":{"date-parts":[["0"]]},"title":"Prospectiva_Diciembre_2020_completa","type":"book"},"uris":["http://www.mendeley.com/documents/?uuid=98cb7172-ba5d-47df-8cea-46722e6512ed"]}],"mendeley":{"formattedCitation":"(Delgado et al., n.d.)","plainTextFormattedCitation":"(Delgado et al., n.d.)","previouslyFormattedCitation":"(Delgado et al., n.d.)"},"properties":{"noteIndex":0},"schema":"https://github.com/citation-style-language/schema/raw/master/csl-citation.json"}</w:instrText>
      </w:r>
      <w:r w:rsidRPr="00364095">
        <w:rPr>
          <w:rFonts w:ascii="Times New Roman" w:eastAsia="Arial" w:hAnsi="Times New Roman" w:cs="Times New Roman"/>
          <w:bCs/>
          <w:szCs w:val="24"/>
          <w:lang w:val="es-ES" w:eastAsia="es-CO"/>
        </w:rPr>
        <w:fldChar w:fldCharType="separate"/>
      </w:r>
      <w:r w:rsidRPr="00364095">
        <w:rPr>
          <w:rFonts w:ascii="Times New Roman" w:eastAsia="Arial" w:hAnsi="Times New Roman" w:cs="Times New Roman"/>
          <w:bCs/>
          <w:noProof/>
          <w:szCs w:val="24"/>
          <w:lang w:val="es-ES" w:eastAsia="es-CO"/>
        </w:rPr>
        <w:t xml:space="preserve">(Delgado </w:t>
      </w:r>
      <w:r w:rsidRPr="00A630DC">
        <w:rPr>
          <w:rFonts w:ascii="Times New Roman" w:eastAsia="Arial" w:hAnsi="Times New Roman" w:cs="Times New Roman"/>
          <w:bCs/>
          <w:i/>
          <w:iCs/>
          <w:noProof/>
          <w:szCs w:val="24"/>
          <w:lang w:val="es-ES" w:eastAsia="es-CO"/>
        </w:rPr>
        <w:t>et al.</w:t>
      </w:r>
      <w:r w:rsidRPr="00364095">
        <w:rPr>
          <w:rFonts w:ascii="Times New Roman" w:eastAsia="Arial" w:hAnsi="Times New Roman" w:cs="Times New Roman"/>
          <w:bCs/>
          <w:noProof/>
          <w:szCs w:val="24"/>
          <w:lang w:val="es-ES" w:eastAsia="es-CO"/>
        </w:rPr>
        <w:t>, n.d.)</w:t>
      </w:r>
      <w:r w:rsidRPr="00364095">
        <w:rPr>
          <w:rFonts w:ascii="Times New Roman" w:eastAsia="Arial" w:hAnsi="Times New Roman" w:cs="Times New Roman"/>
          <w:bCs/>
          <w:szCs w:val="24"/>
          <w:lang w:val="es-ES" w:eastAsia="es-CO"/>
        </w:rPr>
        <w:fldChar w:fldCharType="end"/>
      </w:r>
    </w:p>
    <w:p w14:paraId="5040A390" w14:textId="06E5D093" w:rsidR="00364095" w:rsidRPr="00364095" w:rsidRDefault="00364095" w:rsidP="00A630DC">
      <w:pPr>
        <w:spacing w:after="0"/>
        <w:ind w:firstLine="284"/>
        <w:rPr>
          <w:rFonts w:ascii="Times New Roman" w:eastAsia="Arial" w:hAnsi="Times New Roman" w:cs="Times New Roman"/>
          <w:bCs/>
          <w:szCs w:val="24"/>
          <w:lang w:val="es-ES" w:eastAsia="es-CO"/>
        </w:rPr>
      </w:pPr>
      <w:r w:rsidRPr="00364095">
        <w:rPr>
          <w:rFonts w:ascii="Times New Roman" w:eastAsia="Times New Roman" w:hAnsi="Times New Roman" w:cs="Times New Roman"/>
          <w:szCs w:val="24"/>
        </w:rPr>
        <w:t xml:space="preserve">Sin embargo, es importante tener en cuenta que las grandes empresas del sector comercio pueden enfrentar problemas de liquidez sino gestionan adecuadamente sus flujos de caja y no tienen suficientes recursos para hacer frente a sus obligaciones financieras diarias. </w:t>
      </w:r>
      <w:r w:rsidRPr="00364095">
        <w:rPr>
          <w:rFonts w:ascii="Times New Roman" w:eastAsia="Times New Roman" w:hAnsi="Times New Roman" w:cs="Times New Roman"/>
          <w:szCs w:val="24"/>
        </w:rPr>
        <w:fldChar w:fldCharType="begin" w:fldLock="1"/>
      </w:r>
      <w:r w:rsidRPr="00364095">
        <w:rPr>
          <w:rFonts w:ascii="Times New Roman" w:eastAsia="Times New Roman" w:hAnsi="Times New Roman" w:cs="Times New Roman"/>
          <w:szCs w:val="24"/>
        </w:rPr>
        <w:instrText>ADDIN CSL_CITATION {"citationItems":[{"id":"ITEM-1","itemData":{"author":[{"dropping-particle":"","family":"UNSGSA","given":"","non-dropping-particle":"","parse-names":false,"suffix":""}],"id":"ITEM-1","issued":{"date-parts":[["2021"]]},"title":"Salud Financiera: Una introducción para los responsables de la formulación de políticas del sector financiero","type":"article-journal"},"uris":["http://www.mendeley.com/documents/?uuid=ba0a6d49-8136-48e0-a203-c828829f818a"]}],"mendeley":{"formattedCitation":"(UNSGSA, 2021)","plainTextFormattedCitation":"(UNSGSA, 2021)","previouslyFormattedCitation":"(UNSGSA, 2021)"},"properties":{"noteIndex":0},"schema":"https://github.com/citation-style-language/schema/raw/master/csl-citation.json"}</w:instrText>
      </w:r>
      <w:r w:rsidRPr="00364095">
        <w:rPr>
          <w:rFonts w:ascii="Times New Roman" w:eastAsia="Times New Roman" w:hAnsi="Times New Roman" w:cs="Times New Roman"/>
          <w:szCs w:val="24"/>
        </w:rPr>
        <w:fldChar w:fldCharType="separate"/>
      </w:r>
      <w:r w:rsidRPr="00364095">
        <w:rPr>
          <w:rFonts w:ascii="Times New Roman" w:eastAsia="Times New Roman" w:hAnsi="Times New Roman" w:cs="Times New Roman"/>
          <w:noProof/>
          <w:szCs w:val="24"/>
        </w:rPr>
        <w:t>(UNSGSA, 2021)</w:t>
      </w:r>
      <w:r w:rsidRPr="00364095">
        <w:rPr>
          <w:rFonts w:ascii="Times New Roman" w:eastAsia="Times New Roman" w:hAnsi="Times New Roman" w:cs="Times New Roman"/>
          <w:szCs w:val="24"/>
        </w:rPr>
        <w:fldChar w:fldCharType="end"/>
      </w:r>
      <w:r w:rsidRPr="00364095">
        <w:rPr>
          <w:rFonts w:ascii="Times New Roman" w:eastAsia="Times New Roman" w:hAnsi="Times New Roman" w:cs="Times New Roman"/>
          <w:szCs w:val="24"/>
        </w:rPr>
        <w:t>.</w:t>
      </w:r>
      <w:r w:rsidR="00AC1EEA">
        <w:rPr>
          <w:rFonts w:ascii="Times New Roman" w:eastAsia="Times New Roman" w:hAnsi="Times New Roman" w:cs="Times New Roman"/>
          <w:szCs w:val="24"/>
        </w:rPr>
        <w:t xml:space="preserve"> E</w:t>
      </w:r>
      <w:r w:rsidRPr="00364095">
        <w:rPr>
          <w:rFonts w:ascii="Times New Roman" w:eastAsia="Times New Roman" w:hAnsi="Times New Roman" w:cs="Times New Roman"/>
          <w:szCs w:val="24"/>
        </w:rPr>
        <w:t xml:space="preserve">l estudio realizado por </w:t>
      </w:r>
      <w:r w:rsidRPr="00364095">
        <w:rPr>
          <w:rFonts w:ascii="Times New Roman" w:eastAsia="Times New Roman" w:hAnsi="Times New Roman" w:cs="Times New Roman"/>
          <w:szCs w:val="24"/>
        </w:rPr>
        <w:fldChar w:fldCharType="begin" w:fldLock="1"/>
      </w:r>
      <w:r w:rsidRPr="00364095">
        <w:rPr>
          <w:rFonts w:ascii="Times New Roman" w:eastAsia="Times New Roman" w:hAnsi="Times New Roman" w:cs="Times New Roman"/>
          <w:szCs w:val="24"/>
        </w:rPr>
        <w:instrText>ADDIN CSL_CITATION {"citationItems":[{"id":"ITEM-1","itemData":{"ISBN":"9789586644068","abstract":"This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parties.","author":[{"dropping-particle":"","family":"García","given":"Jorge García","non-dropping-particle":"","parse-names":false,"suffix":""},{"dropping-particle":"","family":"Uribe","given":"Enrique Montes","non-dropping-particle":"","parse-names":false,"suffix":""},{"dropping-particle":"","family":"Salazar","given":"Iader Giraldo","non-dropping-particle":"","parse-names":false,"suffix":""}],"id":"ITEM-1","issued":{"date-parts":[["2008"]]},"number-of-pages":"282","title":"Comercio exterior en Colombia Política, instituciones, costos y resultados","type":"book"},"uris":["http://www.mendeley.com/documents/?uuid=6afbbd88-f28f-426c-937f-a00e881b029e"]}],"mendeley":{"formattedCitation":"(García et al., 2008)","plainTextFormattedCitation":"(García et al., 2008)","previouslyFormattedCitation":"(García et al., 2008)"},"properties":{"noteIndex":0},"schema":"https://github.com/citation-style-language/schema/raw/master/csl-citation.json"}</w:instrText>
      </w:r>
      <w:r w:rsidRPr="00364095">
        <w:rPr>
          <w:rFonts w:ascii="Times New Roman" w:eastAsia="Times New Roman" w:hAnsi="Times New Roman" w:cs="Times New Roman"/>
          <w:szCs w:val="24"/>
        </w:rPr>
        <w:fldChar w:fldCharType="separate"/>
      </w:r>
      <w:r w:rsidR="00AC1EEA">
        <w:rPr>
          <w:rFonts w:ascii="Times New Roman" w:eastAsia="Times New Roman" w:hAnsi="Times New Roman" w:cs="Times New Roman"/>
          <w:noProof/>
          <w:szCs w:val="24"/>
        </w:rPr>
        <w:t>G</w:t>
      </w:r>
      <w:r w:rsidRPr="00364095">
        <w:rPr>
          <w:rFonts w:ascii="Times New Roman" w:eastAsia="Times New Roman" w:hAnsi="Times New Roman" w:cs="Times New Roman"/>
          <w:noProof/>
          <w:szCs w:val="24"/>
        </w:rPr>
        <w:t xml:space="preserve">arcía </w:t>
      </w:r>
      <w:r w:rsidRPr="0014344A">
        <w:rPr>
          <w:rFonts w:ascii="Times New Roman" w:eastAsia="Times New Roman" w:hAnsi="Times New Roman" w:cs="Times New Roman"/>
          <w:i/>
          <w:iCs/>
          <w:noProof/>
          <w:szCs w:val="24"/>
        </w:rPr>
        <w:t>et al</w:t>
      </w:r>
      <w:r w:rsidRPr="00364095">
        <w:rPr>
          <w:rFonts w:ascii="Times New Roman" w:eastAsia="Times New Roman" w:hAnsi="Times New Roman" w:cs="Times New Roman"/>
          <w:noProof/>
          <w:szCs w:val="24"/>
        </w:rPr>
        <w:t xml:space="preserve"> </w:t>
      </w:r>
      <w:r w:rsidR="00AC1EEA">
        <w:rPr>
          <w:rFonts w:ascii="Times New Roman" w:eastAsia="Times New Roman" w:hAnsi="Times New Roman" w:cs="Times New Roman"/>
          <w:noProof/>
          <w:szCs w:val="24"/>
        </w:rPr>
        <w:t>(</w:t>
      </w:r>
      <w:r w:rsidRPr="00364095">
        <w:rPr>
          <w:rFonts w:ascii="Times New Roman" w:eastAsia="Times New Roman" w:hAnsi="Times New Roman" w:cs="Times New Roman"/>
          <w:noProof/>
          <w:szCs w:val="24"/>
        </w:rPr>
        <w:t>2008)</w:t>
      </w:r>
      <w:r w:rsidRPr="00364095">
        <w:rPr>
          <w:rFonts w:ascii="Times New Roman" w:eastAsia="Times New Roman" w:hAnsi="Times New Roman" w:cs="Times New Roman"/>
          <w:szCs w:val="24"/>
        </w:rPr>
        <w:fldChar w:fldCharType="end"/>
      </w:r>
      <w:r w:rsidRPr="00364095">
        <w:rPr>
          <w:rFonts w:ascii="Times New Roman" w:eastAsia="Times New Roman" w:hAnsi="Times New Roman" w:cs="Times New Roman"/>
          <w:szCs w:val="24"/>
        </w:rPr>
        <w:t xml:space="preserve"> </w:t>
      </w:r>
      <w:r w:rsidRPr="00364095">
        <w:rPr>
          <w:rFonts w:ascii="Times New Roman" w:eastAsia="Times New Roman" w:hAnsi="Times New Roman" w:cs="Times New Roman"/>
          <w:color w:val="000000"/>
          <w:szCs w:val="24"/>
        </w:rPr>
        <w:t>destaca que las empresas en el país enfrentan un desafío considerable en relación a los costos vinculados al transporte y logística para llevar sus productos al mercado global. Este desafío abarca gastos de transporte, posibles pérdidas, seguros, inspecciones y la complejidad burocrática. Estos costos elevados tienen un impacto directo en la competitividad de las empresas a nivel internacional, dificultando su capacidad para ofrecer productos a precios competitivos. En razón a lo anterior, es importante que se tomen medidas para abordar estas dificultades y mejorar la eficiencia y la eficacia de las operaciones de comercio exterior en Colombia.</w:t>
      </w:r>
    </w:p>
    <w:p w14:paraId="5ACFB975" w14:textId="45979722" w:rsidR="00364095" w:rsidRPr="00364095" w:rsidRDefault="00364095" w:rsidP="00A630DC">
      <w:pPr>
        <w:spacing w:after="0"/>
        <w:ind w:firstLine="284"/>
        <w:rPr>
          <w:rFonts w:ascii="Times New Roman" w:eastAsia="Arial" w:hAnsi="Times New Roman" w:cs="Times New Roman"/>
          <w:bCs/>
          <w:szCs w:val="24"/>
          <w:lang w:val="es-ES" w:eastAsia="es-CO"/>
        </w:rPr>
      </w:pPr>
      <w:r w:rsidRPr="00364095">
        <w:rPr>
          <w:rFonts w:ascii="Times New Roman" w:eastAsia="Times New Roman" w:hAnsi="Times New Roman" w:cs="Times New Roman"/>
          <w:szCs w:val="24"/>
        </w:rPr>
        <w:t>Por otra parte</w:t>
      </w:r>
      <w:r w:rsidR="00621C5B">
        <w:rPr>
          <w:rFonts w:ascii="Times New Roman" w:eastAsia="Times New Roman" w:hAnsi="Times New Roman" w:cs="Times New Roman"/>
          <w:szCs w:val="24"/>
        </w:rPr>
        <w:t>, s</w:t>
      </w:r>
      <w:r w:rsidR="00621C5B" w:rsidRPr="00621C5B">
        <w:rPr>
          <w:rFonts w:ascii="Times New Roman" w:eastAsia="Times New Roman" w:hAnsi="Times New Roman" w:cs="Times New Roman"/>
          <w:szCs w:val="24"/>
        </w:rPr>
        <w:t>egún una encuesta realizada por el CEPEC (Centro de Pensamiento en Estrategias Competitivas) de la Universidad del Rosario</w:t>
      </w:r>
      <w:r w:rsidRPr="00364095">
        <w:rPr>
          <w:rFonts w:ascii="Times New Roman" w:eastAsia="Times New Roman" w:hAnsi="Times New Roman" w:cs="Times New Roman"/>
          <w:color w:val="000000"/>
          <w:szCs w:val="24"/>
        </w:rPr>
        <w:t xml:space="preserve">, destaca que el 42,00% de las empresas colombianas enfrentan dificultades en las operaciones de comercio internacional, que incluyen la entrada y salida de bienes. </w:t>
      </w:r>
      <w:r w:rsidRPr="00364095">
        <w:rPr>
          <w:rFonts w:ascii="Times New Roman" w:eastAsia="Times New Roman" w:hAnsi="Times New Roman" w:cs="Times New Roman"/>
          <w:szCs w:val="24"/>
        </w:rPr>
        <w:t>Entonces</w:t>
      </w:r>
      <w:r w:rsidRPr="00364095">
        <w:rPr>
          <w:rFonts w:ascii="Times New Roman" w:eastAsia="Times New Roman" w:hAnsi="Times New Roman" w:cs="Times New Roman"/>
          <w:color w:val="000000"/>
          <w:szCs w:val="24"/>
        </w:rPr>
        <w:t xml:space="preserve">, esta problemática puede afectar la competitividad de las empresas colombianas en el mercado internacional y limitar su capacidad para expandirse y </w:t>
      </w:r>
      <w:r w:rsidRPr="00364095">
        <w:rPr>
          <w:rFonts w:ascii="Times New Roman" w:eastAsia="Times New Roman" w:hAnsi="Times New Roman" w:cs="Times New Roman"/>
          <w:szCs w:val="24"/>
        </w:rPr>
        <w:t xml:space="preserve">crecer. </w:t>
      </w:r>
      <w:r w:rsidRPr="00364095">
        <w:rPr>
          <w:rFonts w:ascii="Times New Roman" w:eastAsia="Times New Roman" w:hAnsi="Times New Roman" w:cs="Times New Roman"/>
          <w:szCs w:val="24"/>
        </w:rPr>
        <w:fldChar w:fldCharType="begin" w:fldLock="1"/>
      </w:r>
      <w:r w:rsidRPr="00364095">
        <w:rPr>
          <w:rFonts w:ascii="Times New Roman" w:eastAsia="Times New Roman" w:hAnsi="Times New Roman" w:cs="Times New Roman"/>
          <w:szCs w:val="24"/>
        </w:rPr>
        <w:instrText>ADDIN CSL_CITATION {"citationItems":[{"id":"ITEM-1","itemData":{"author":[{"dropping-particle":"","family":"Espectador","given":"E L","non-dropping-particle":"","parse-names":false,"suffix":""}],"id":"ITEM-1","issued":{"date-parts":[["2015"]]},"page":"1-6","title":"El 42% de empresas colombianas tiene problemas en operaciones de comercio exterior","type":"article-newspaper"},"uris":["http://www.mendeley.com/documents/?uuid=ea16f3f0-893a-41fb-8360-ae67cad58a2e"]}],"mendeley":{"formattedCitation":"(Espectador, 2015)","plainTextFormattedCitation":"(Espectador, 2015)","previouslyFormattedCitation":"(Espectador, 2015)"},"properties":{"noteIndex":0},"schema":"https://github.com/citation-style-language/schema/raw/master/csl-citation.json"}</w:instrText>
      </w:r>
      <w:r w:rsidRPr="00364095">
        <w:rPr>
          <w:rFonts w:ascii="Times New Roman" w:eastAsia="Times New Roman" w:hAnsi="Times New Roman" w:cs="Times New Roman"/>
          <w:szCs w:val="24"/>
        </w:rPr>
        <w:fldChar w:fldCharType="separate"/>
      </w:r>
      <w:r w:rsidRPr="00364095">
        <w:rPr>
          <w:rFonts w:ascii="Times New Roman" w:eastAsia="Times New Roman" w:hAnsi="Times New Roman" w:cs="Times New Roman"/>
          <w:noProof/>
          <w:szCs w:val="24"/>
        </w:rPr>
        <w:t>(Espectador, 2015)</w:t>
      </w:r>
      <w:r w:rsidRPr="00364095">
        <w:rPr>
          <w:rFonts w:ascii="Times New Roman" w:eastAsia="Times New Roman" w:hAnsi="Times New Roman" w:cs="Times New Roman"/>
          <w:szCs w:val="24"/>
        </w:rPr>
        <w:fldChar w:fldCharType="end"/>
      </w:r>
      <w:r w:rsidR="00AC1EEA">
        <w:rPr>
          <w:rFonts w:ascii="Times New Roman" w:eastAsia="Times New Roman" w:hAnsi="Times New Roman" w:cs="Times New Roman"/>
          <w:szCs w:val="24"/>
        </w:rPr>
        <w:t xml:space="preserve">. </w:t>
      </w:r>
    </w:p>
    <w:p w14:paraId="6E0A97CA" w14:textId="444EF5D3" w:rsidR="00364095" w:rsidRPr="00364095" w:rsidRDefault="00364095" w:rsidP="00A630DC">
      <w:pPr>
        <w:spacing w:after="0"/>
        <w:ind w:firstLine="284"/>
        <w:rPr>
          <w:rFonts w:ascii="Times New Roman" w:eastAsia="Arial" w:hAnsi="Times New Roman" w:cs="Times New Roman"/>
          <w:bCs/>
          <w:szCs w:val="24"/>
          <w:lang w:val="es-ES" w:eastAsia="es-CO"/>
        </w:rPr>
      </w:pPr>
      <w:r w:rsidRPr="00364095">
        <w:rPr>
          <w:rFonts w:ascii="Times New Roman" w:eastAsia="Times New Roman" w:hAnsi="Times New Roman" w:cs="Times New Roman"/>
          <w:szCs w:val="24"/>
        </w:rPr>
        <w:t>Los principales desafíos que afectan a los empresarios en Colombia fueron revelados por el Laboratorio Empresarial de la Universidad del Rosario, el Centro Nacional de Consultoría y El Tiempo Casa Editorial. Según el informe, el 58,00% de los participantes considera que Colombia tiene las peores condiciones para establecer una empresa. Esto se debe a los altos impuestos (59,00%), los precios de los insumos (31,00%), la capacitación del personal (31,00%), las tasas de interés (28,00%), la disminución de las ventas (28,00%), la falta de crédito (26,00%), y la falta de tec</w:t>
      </w:r>
      <w:r w:rsidR="005E4A56">
        <w:rPr>
          <w:rFonts w:ascii="Times New Roman" w:eastAsia="Times New Roman" w:hAnsi="Times New Roman" w:cs="Times New Roman"/>
          <w:szCs w:val="24"/>
        </w:rPr>
        <w:t>nología y/o maquinaria (24,00%),</w:t>
      </w:r>
      <w:r w:rsidRPr="00364095">
        <w:rPr>
          <w:rFonts w:ascii="Times New Roman" w:eastAsia="Times New Roman" w:hAnsi="Times New Roman" w:cs="Times New Roman"/>
          <w:szCs w:val="24"/>
        </w:rPr>
        <w:t xml:space="preserve"> </w:t>
      </w:r>
      <w:r w:rsidRPr="00364095">
        <w:rPr>
          <w:rFonts w:ascii="Times New Roman" w:eastAsia="Times New Roman" w:hAnsi="Times New Roman" w:cs="Times New Roman"/>
          <w:szCs w:val="24"/>
        </w:rPr>
        <w:fldChar w:fldCharType="begin" w:fldLock="1"/>
      </w:r>
      <w:r w:rsidRPr="00364095">
        <w:rPr>
          <w:rFonts w:ascii="Times New Roman" w:eastAsia="Times New Roman" w:hAnsi="Times New Roman" w:cs="Times New Roman"/>
          <w:szCs w:val="24"/>
        </w:rPr>
        <w:instrText>ADDIN CSL_CITATION {"citationItems":[{"id":"ITEM-1","itemData":{"author":[{"dropping-particle":"","family":"Red+","given":"","non-dropping-particle":"","parse-names":false,"suffix":""}],"id":"ITEM-1","issued":{"date-parts":[["2023"]]},"page":"1-9","title":"Crear empresa en Colombia, una misión casi imposible: ¿Cuáles son las verdaderas razones?","type":"article-newspaper"},"uris":["http://www.mendeley.com/documents/?uuid=dce2b5ea-45fb-4017-a502-e16a583ae6f9"]}],"mendeley":{"formattedCitation":"(Red+, 2023)","plainTextFormattedCitation":"(Red+, 2023)","previouslyFormattedCitation":"(Red+, 2023)"},"properties":{"noteIndex":0},"schema":"https://github.com/citation-style-language/schema/raw/master/csl-citation.json"}</w:instrText>
      </w:r>
      <w:r w:rsidRPr="00364095">
        <w:rPr>
          <w:rFonts w:ascii="Times New Roman" w:eastAsia="Times New Roman" w:hAnsi="Times New Roman" w:cs="Times New Roman"/>
          <w:szCs w:val="24"/>
        </w:rPr>
        <w:fldChar w:fldCharType="separate"/>
      </w:r>
      <w:r w:rsidRPr="00364095">
        <w:rPr>
          <w:rFonts w:ascii="Times New Roman" w:eastAsia="Times New Roman" w:hAnsi="Times New Roman" w:cs="Times New Roman"/>
          <w:noProof/>
          <w:szCs w:val="24"/>
        </w:rPr>
        <w:t>(Red+, 2023)</w:t>
      </w:r>
      <w:r w:rsidRPr="00364095">
        <w:rPr>
          <w:rFonts w:ascii="Times New Roman" w:eastAsia="Times New Roman" w:hAnsi="Times New Roman" w:cs="Times New Roman"/>
          <w:szCs w:val="24"/>
        </w:rPr>
        <w:fldChar w:fldCharType="end"/>
      </w:r>
      <w:r w:rsidR="005A55EE">
        <w:rPr>
          <w:rFonts w:ascii="Times New Roman" w:eastAsia="Times New Roman" w:hAnsi="Times New Roman" w:cs="Times New Roman"/>
          <w:szCs w:val="24"/>
        </w:rPr>
        <w:t>.</w:t>
      </w:r>
    </w:p>
    <w:p w14:paraId="276E1BDE" w14:textId="3AEE674A" w:rsidR="00364095" w:rsidRPr="00364095" w:rsidRDefault="00364095" w:rsidP="00A630DC">
      <w:pPr>
        <w:spacing w:after="0"/>
        <w:ind w:firstLine="284"/>
        <w:rPr>
          <w:rFonts w:ascii="Times New Roman" w:eastAsia="Arial" w:hAnsi="Times New Roman" w:cs="Times New Roman"/>
          <w:bCs/>
          <w:szCs w:val="24"/>
          <w:lang w:val="es-ES" w:eastAsia="es-CO"/>
        </w:rPr>
      </w:pPr>
      <w:r w:rsidRPr="00364095">
        <w:rPr>
          <w:rFonts w:ascii="Times New Roman" w:eastAsia="Times New Roman" w:hAnsi="Times New Roman" w:cs="Times New Roman"/>
          <w:szCs w:val="24"/>
        </w:rPr>
        <w:t xml:space="preserve">Por otro lado, según el Departamento Nacional de Planeación </w:t>
      </w:r>
      <w:r w:rsidR="00431A4F">
        <w:rPr>
          <w:rFonts w:ascii="Times New Roman" w:eastAsia="Times New Roman" w:hAnsi="Times New Roman" w:cs="Times New Roman"/>
          <w:szCs w:val="24"/>
        </w:rPr>
        <w:fldChar w:fldCharType="begin" w:fldLock="1"/>
      </w:r>
      <w:r w:rsidR="008420B8">
        <w:rPr>
          <w:rFonts w:ascii="Times New Roman" w:eastAsia="Times New Roman" w:hAnsi="Times New Roman" w:cs="Times New Roman"/>
          <w:szCs w:val="24"/>
        </w:rPr>
        <w:instrText>ADDIN CSL_CITATION {"citationItems":[{"id":"ITEM-1","itemData":{"author":[{"dropping-particle":"","family":"DNP","given":"","non-dropping-particle":"","parse-names":false,"suffix":""}],"container-title":"Dnp","id":"ITEM-1","issued":{"date-parts":[["2019"]]},"number-of-pages":"1-36","title":"Revisión de la productividad en las empresas en Colombia","type":"report"},"uris":["http://www.mendeley.com/documents/?uuid=4a653eec-a994-4c0c-9cb1-d46e53e1dccc"]}],"mendeley":{"formattedCitation":"(DNP, 2019)","plainTextFormattedCitation":"(DNP, 2019)","previouslyFormattedCitation":"(DNP, 2019)"},"properties":{"noteIndex":0},"schema":"https://github.com/citation-style-language/schema/raw/master/csl-citation.json"}</w:instrText>
      </w:r>
      <w:r w:rsidR="00431A4F">
        <w:rPr>
          <w:rFonts w:ascii="Times New Roman" w:eastAsia="Times New Roman" w:hAnsi="Times New Roman" w:cs="Times New Roman"/>
          <w:szCs w:val="24"/>
        </w:rPr>
        <w:fldChar w:fldCharType="separate"/>
      </w:r>
      <w:r w:rsidR="00431A4F" w:rsidRPr="00431A4F">
        <w:rPr>
          <w:rFonts w:ascii="Times New Roman" w:eastAsia="Times New Roman" w:hAnsi="Times New Roman" w:cs="Times New Roman"/>
          <w:noProof/>
          <w:szCs w:val="24"/>
        </w:rPr>
        <w:t>(DNP, 2019)</w:t>
      </w:r>
      <w:r w:rsidR="00431A4F">
        <w:rPr>
          <w:rFonts w:ascii="Times New Roman" w:eastAsia="Times New Roman" w:hAnsi="Times New Roman" w:cs="Times New Roman"/>
          <w:szCs w:val="24"/>
        </w:rPr>
        <w:fldChar w:fldCharType="end"/>
      </w:r>
      <w:r w:rsidR="005254A5">
        <w:rPr>
          <w:rFonts w:ascii="Times New Roman" w:eastAsia="Times New Roman" w:hAnsi="Times New Roman" w:cs="Times New Roman"/>
          <w:szCs w:val="24"/>
        </w:rPr>
        <w:t>,</w:t>
      </w:r>
      <w:r w:rsidR="00431A4F">
        <w:rPr>
          <w:rFonts w:ascii="Times New Roman" w:eastAsia="Times New Roman" w:hAnsi="Times New Roman" w:cs="Times New Roman"/>
          <w:szCs w:val="24"/>
        </w:rPr>
        <w:t xml:space="preserve"> </w:t>
      </w:r>
      <w:r w:rsidRPr="00364095">
        <w:rPr>
          <w:rFonts w:ascii="Times New Roman" w:eastAsia="Times New Roman" w:hAnsi="Times New Roman" w:cs="Times New Roman"/>
          <w:szCs w:val="24"/>
        </w:rPr>
        <w:t>los bajos niveles de productividad en las unidades productivas colombianas están relacionados con la mala gestión de calidad, el traspaso y adopción de tecnología, la innovación y la falta de compromiso por la calidad de los productos durante el proceso productivo. Sin embargo, el rendimiento también se ve afectad</w:t>
      </w:r>
      <w:r w:rsidR="005254A5">
        <w:rPr>
          <w:rFonts w:ascii="Times New Roman" w:eastAsia="Times New Roman" w:hAnsi="Times New Roman" w:cs="Times New Roman"/>
          <w:szCs w:val="24"/>
        </w:rPr>
        <w:t>o</w:t>
      </w:r>
      <w:r w:rsidRPr="00364095">
        <w:rPr>
          <w:rFonts w:ascii="Times New Roman" w:eastAsia="Times New Roman" w:hAnsi="Times New Roman" w:cs="Times New Roman"/>
          <w:szCs w:val="24"/>
        </w:rPr>
        <w:t xml:space="preserve"> por componentes externos, como la economía política, que con frecuencia conduce a políticas dirigidas a ciertos fragmentos, altos índices de trabajo informal y organizaciones informales, </w:t>
      </w:r>
      <w:r w:rsidR="009E3CA2" w:rsidRPr="009E3CA2">
        <w:rPr>
          <w:rFonts w:ascii="Times New Roman" w:eastAsia="Times New Roman" w:hAnsi="Times New Roman" w:cs="Times New Roman"/>
          <w:szCs w:val="24"/>
        </w:rPr>
        <w:t>una discrepancia entre la oferta y la demanda de capital humano y un bajo nivel de competencia en el mercado</w:t>
      </w:r>
      <w:r w:rsidRPr="00364095">
        <w:rPr>
          <w:rFonts w:ascii="Times New Roman" w:eastAsia="Times New Roman" w:hAnsi="Times New Roman" w:cs="Times New Roman"/>
          <w:szCs w:val="24"/>
        </w:rPr>
        <w:t xml:space="preserve">. Según </w:t>
      </w:r>
      <w:r w:rsidR="00551ADE">
        <w:rPr>
          <w:rFonts w:ascii="Times New Roman" w:eastAsia="Times New Roman" w:hAnsi="Times New Roman" w:cs="Times New Roman"/>
          <w:szCs w:val="24"/>
        </w:rPr>
        <w:fldChar w:fldCharType="begin" w:fldLock="1"/>
      </w:r>
      <w:r w:rsidR="00945853">
        <w:rPr>
          <w:rFonts w:ascii="Times New Roman" w:eastAsia="Times New Roman" w:hAnsi="Times New Roman" w:cs="Times New Roman"/>
          <w:szCs w:val="24"/>
        </w:rPr>
        <w:instrText>ADDIN CSL_CITATION {"citationItems":[{"id":"ITEM-1","itemData":{"DOI":"10.33386/593dp.2019.5-1.128","abstract":"Esta investigación se centra en analizar las estrategias para la administración del efectivo y su relación con los resultados operativos de las empresas de los sectores Transporte y Construcción ecuatorianos, durante el periodo 2012-2017. La muestra se constituye con información financiera de las 32726 empresas sector construcción y 46140 empresas sector transporte organizada como datos. Se realiza un análisis descriptivo y de correlación. Los resultados determinaron que el periodo de rotación de inventario, periodo medio de cobranzas, periodo medio de pago, ciclo de conversión del efectivo, endeudamiento, flujos de efectivo tiene una correlación significativa con los indicadores de rentabilidad, sin dejar de lado que se debe mejorar la eficiencia en algunas estrategias como son el ciclo de inventario, cobro y pago. Las actividades diarias de estas empresas dependen del eficiente manejo de efectivo a corto plazo, para ello que las empresas que desean mejorar su rentabilidad deberían prestar una mayor atención en las estrategias claves para esta gestión.","author":[{"dropping-particle":"","family":"Cueva","given":"Joysy","non-dropping-particle":"","parse-names":false,"suffix":""},{"dropping-particle":"","family":"Rojas","given":"Dolores","non-dropping-particle":"","parse-names":false,"suffix":""}],"container-title":"593 Digital Publisher CEIT","id":"ITEM-1","issue":"4","issued":{"date-parts":[["2019"]]},"page":"39-48","title":"Estrategias de gestión del efectivo y rentabilidad de las empresas ecuatorianas: caso sectores construcción y transporte","type":"article-journal","volume":"5-1"},"uris":["http://www.mendeley.com/documents/?uuid=d0cc0ced-5e11-4a46-855d-b39e43af2b82"]}],"mendeley":{"formattedCitation":"(Cueva &amp; Rojas, 2019)","manualFormatting":"(Cueva y Rojas, 2019)","plainTextFormattedCitation":"(Cueva &amp; Rojas, 2019)","previouslyFormattedCitation":"(Cueva &amp; Rojas, 2019)"},"properties":{"noteIndex":0},"schema":"https://github.com/citation-style-language/schema/raw/master/csl-citation.json"}</w:instrText>
      </w:r>
      <w:r w:rsidR="00551ADE">
        <w:rPr>
          <w:rFonts w:ascii="Times New Roman" w:eastAsia="Times New Roman" w:hAnsi="Times New Roman" w:cs="Times New Roman"/>
          <w:szCs w:val="24"/>
        </w:rPr>
        <w:fldChar w:fldCharType="separate"/>
      </w:r>
      <w:r w:rsidR="00551ADE">
        <w:rPr>
          <w:rFonts w:ascii="Times New Roman" w:eastAsia="Times New Roman" w:hAnsi="Times New Roman" w:cs="Times New Roman"/>
          <w:noProof/>
          <w:szCs w:val="24"/>
        </w:rPr>
        <w:t xml:space="preserve">(Cueva </w:t>
      </w:r>
      <w:r w:rsidR="00AC1EEA">
        <w:rPr>
          <w:rFonts w:ascii="Times New Roman" w:eastAsia="Times New Roman" w:hAnsi="Times New Roman" w:cs="Times New Roman"/>
          <w:noProof/>
          <w:szCs w:val="24"/>
        </w:rPr>
        <w:t>&amp;</w:t>
      </w:r>
      <w:r w:rsidR="00551ADE" w:rsidRPr="00551ADE">
        <w:rPr>
          <w:rFonts w:ascii="Times New Roman" w:eastAsia="Times New Roman" w:hAnsi="Times New Roman" w:cs="Times New Roman"/>
          <w:noProof/>
          <w:szCs w:val="24"/>
        </w:rPr>
        <w:t xml:space="preserve"> Rojas, 2019)</w:t>
      </w:r>
      <w:r w:rsidR="00551ADE">
        <w:rPr>
          <w:rFonts w:ascii="Times New Roman" w:eastAsia="Times New Roman" w:hAnsi="Times New Roman" w:cs="Times New Roman"/>
          <w:szCs w:val="24"/>
        </w:rPr>
        <w:fldChar w:fldCharType="end"/>
      </w:r>
      <w:r w:rsidR="00551ADE">
        <w:rPr>
          <w:rFonts w:ascii="Times New Roman" w:eastAsia="Times New Roman" w:hAnsi="Times New Roman" w:cs="Times New Roman"/>
          <w:szCs w:val="24"/>
        </w:rPr>
        <w:t xml:space="preserve">, </w:t>
      </w:r>
      <w:r w:rsidRPr="00364095">
        <w:rPr>
          <w:rFonts w:ascii="Times New Roman" w:eastAsia="Times New Roman" w:hAnsi="Times New Roman" w:cs="Times New Roman"/>
          <w:szCs w:val="24"/>
        </w:rPr>
        <w:t>es importante para las empresas asegurarse de que el efectivo llegue puntualmente y que los administradores lo gestionen de manera efectiva para evitar la insolvencia, lo cual sería fatal para la empresa.</w:t>
      </w:r>
    </w:p>
    <w:p w14:paraId="462FD450" w14:textId="77777777" w:rsidR="00364095" w:rsidRPr="00364095" w:rsidRDefault="00364095" w:rsidP="00A630DC">
      <w:pPr>
        <w:spacing w:after="0"/>
        <w:ind w:firstLine="284"/>
        <w:rPr>
          <w:rFonts w:ascii="Times New Roman" w:eastAsia="Arial" w:hAnsi="Times New Roman" w:cs="Times New Roman"/>
          <w:bCs/>
          <w:szCs w:val="24"/>
          <w:lang w:val="es-ES" w:eastAsia="es-CO"/>
        </w:rPr>
      </w:pPr>
      <w:r w:rsidRPr="00364095">
        <w:rPr>
          <w:rFonts w:ascii="Times New Roman" w:eastAsia="Times New Roman" w:hAnsi="Times New Roman" w:cs="Times New Roman"/>
          <w:szCs w:val="24"/>
          <w:lang w:val="es-ES"/>
        </w:rPr>
        <w:t xml:space="preserve">La investigación tuvo como propósito relacionar el Ciclo de Caja de Efectivo (CCE) y la rentabilidad de las grandes empresas del sector comercio en Colombia entre los años 2016 – 2022. Para alcanzar este objetivo, se realizó una investigación desde el paradigma cuantitativo. Además, el método utilizado es deductivo con un tipo de investigación relacional. Se tomó como población objeto de estudio los estados financieros que proporcionaron las grandes </w:t>
      </w:r>
      <w:r w:rsidRPr="00364095">
        <w:rPr>
          <w:rFonts w:ascii="Times New Roman" w:eastAsia="Times New Roman" w:hAnsi="Times New Roman" w:cs="Times New Roman"/>
          <w:szCs w:val="24"/>
          <w:lang w:val="es-ES"/>
        </w:rPr>
        <w:lastRenderedPageBreak/>
        <w:t>empresas del sector comercio en Colombia ante la Superintendencia de Sociedades durante los años 2016 a 2022.</w:t>
      </w:r>
    </w:p>
    <w:p w14:paraId="6B51DA34" w14:textId="77777777" w:rsidR="006642B9" w:rsidRPr="008D05DE" w:rsidRDefault="006642B9" w:rsidP="00A630DC">
      <w:pPr>
        <w:pStyle w:val="NormalWeb"/>
        <w:spacing w:before="0" w:beforeAutospacing="0" w:after="0" w:afterAutospacing="0"/>
        <w:ind w:firstLine="284"/>
        <w:jc w:val="both"/>
        <w:rPr>
          <w:lang w:val="es-ES"/>
        </w:rPr>
      </w:pPr>
    </w:p>
    <w:p w14:paraId="1471C112" w14:textId="77777777" w:rsidR="005A46A3" w:rsidRPr="008D05DE" w:rsidRDefault="005A46A3" w:rsidP="00A630DC">
      <w:pPr>
        <w:spacing w:after="0"/>
        <w:rPr>
          <w:rFonts w:ascii="Times New Roman" w:hAnsi="Times New Roman" w:cs="Times New Roman"/>
          <w:b/>
          <w:szCs w:val="24"/>
          <w:lang w:val="es-ES"/>
        </w:rPr>
      </w:pPr>
      <w:r w:rsidRPr="008D05DE">
        <w:rPr>
          <w:rFonts w:ascii="Times New Roman" w:hAnsi="Times New Roman" w:cs="Times New Roman"/>
          <w:b/>
          <w:szCs w:val="24"/>
          <w:lang w:val="es-ES"/>
        </w:rPr>
        <w:t>Esquema de resolución</w:t>
      </w:r>
    </w:p>
    <w:p w14:paraId="6B08808A" w14:textId="77777777" w:rsidR="00EC099F" w:rsidRPr="008D05DE" w:rsidRDefault="00EC099F" w:rsidP="00A630DC">
      <w:pPr>
        <w:pStyle w:val="Ttuloseccin"/>
        <w:ind w:left="0"/>
        <w:jc w:val="both"/>
        <w:rPr>
          <w:sz w:val="24"/>
          <w:szCs w:val="24"/>
        </w:rPr>
      </w:pPr>
    </w:p>
    <w:p w14:paraId="40382665" w14:textId="7A8209A3" w:rsidR="00594BA9" w:rsidRPr="0014344A" w:rsidRDefault="00F35F15" w:rsidP="00A630DC">
      <w:pPr>
        <w:pStyle w:val="Prrafodelista"/>
        <w:numPr>
          <w:ilvl w:val="0"/>
          <w:numId w:val="11"/>
        </w:numPr>
        <w:spacing w:after="0"/>
        <w:rPr>
          <w:rFonts w:ascii="Times New Roman" w:eastAsia="Times New Roman" w:hAnsi="Times New Roman" w:cs="Times New Roman"/>
          <w:b/>
          <w:szCs w:val="24"/>
          <w:lang w:val="es-ES" w:eastAsia="es-ES"/>
        </w:rPr>
      </w:pPr>
      <w:r w:rsidRPr="0014344A">
        <w:rPr>
          <w:rFonts w:ascii="Times New Roman" w:eastAsia="Times New Roman" w:hAnsi="Times New Roman" w:cs="Times New Roman"/>
          <w:b/>
          <w:szCs w:val="24"/>
          <w:lang w:val="es-ES" w:eastAsia="es-ES"/>
        </w:rPr>
        <w:t>Problema de investigación</w:t>
      </w:r>
    </w:p>
    <w:p w14:paraId="6E337F31" w14:textId="77777777" w:rsidR="002D6022" w:rsidRPr="008D05DE" w:rsidRDefault="002D6022" w:rsidP="00A630DC">
      <w:pPr>
        <w:spacing w:after="0"/>
        <w:ind w:firstLine="284"/>
        <w:rPr>
          <w:rFonts w:ascii="Times New Roman" w:eastAsia="Times New Roman" w:hAnsi="Times New Roman" w:cs="Times New Roman"/>
          <w:szCs w:val="24"/>
          <w:lang w:val="es-ES" w:eastAsia="es-ES"/>
        </w:rPr>
      </w:pPr>
    </w:p>
    <w:p w14:paraId="1A8C8D20" w14:textId="490C97BA" w:rsidR="006642B9" w:rsidRDefault="002F02F2" w:rsidP="00A630DC">
      <w:pPr>
        <w:spacing w:after="0"/>
        <w:ind w:firstLine="284"/>
        <w:rPr>
          <w:rFonts w:ascii="Times New Roman" w:hAnsi="Times New Roman" w:cs="Times New Roman"/>
          <w:szCs w:val="24"/>
          <w:lang w:val="es-ES"/>
        </w:rPr>
      </w:pPr>
      <w:r w:rsidRPr="002F02F2">
        <w:rPr>
          <w:rFonts w:ascii="Times New Roman" w:hAnsi="Times New Roman" w:cs="Times New Roman"/>
          <w:szCs w:val="24"/>
          <w:lang w:val="es-ES"/>
        </w:rPr>
        <w:t>¿Cuál es la relación entre el Ciclo de Caja de Efectivo (CCE) y la rentabilidad de las grandes empresas del sector comercio en Colombia entre los años 2016 – 2022?</w:t>
      </w:r>
    </w:p>
    <w:p w14:paraId="03258AD3" w14:textId="77777777" w:rsidR="002F02F2" w:rsidRPr="008D05DE" w:rsidRDefault="002F02F2" w:rsidP="00A630DC">
      <w:pPr>
        <w:spacing w:after="0"/>
        <w:ind w:firstLine="284"/>
        <w:rPr>
          <w:rFonts w:ascii="Times New Roman" w:eastAsia="Times New Roman" w:hAnsi="Times New Roman" w:cs="Times New Roman"/>
          <w:szCs w:val="24"/>
          <w:lang w:val="es-ES" w:eastAsia="es-ES"/>
        </w:rPr>
      </w:pPr>
    </w:p>
    <w:p w14:paraId="450887AD" w14:textId="35F860DD" w:rsidR="0066299A" w:rsidRPr="0014344A" w:rsidRDefault="0066299A" w:rsidP="00A630DC">
      <w:pPr>
        <w:pStyle w:val="Prrafodelista"/>
        <w:numPr>
          <w:ilvl w:val="0"/>
          <w:numId w:val="11"/>
        </w:numPr>
        <w:spacing w:after="0"/>
        <w:rPr>
          <w:rFonts w:ascii="Times New Roman" w:eastAsia="Times New Roman" w:hAnsi="Times New Roman" w:cs="Times New Roman"/>
          <w:b/>
          <w:szCs w:val="24"/>
          <w:lang w:val="es-ES" w:eastAsia="es-ES"/>
        </w:rPr>
      </w:pPr>
      <w:r w:rsidRPr="0014344A">
        <w:rPr>
          <w:rFonts w:ascii="Times New Roman" w:eastAsia="Times New Roman" w:hAnsi="Times New Roman" w:cs="Times New Roman"/>
          <w:b/>
          <w:szCs w:val="24"/>
          <w:lang w:val="es-ES" w:eastAsia="es-ES"/>
        </w:rPr>
        <w:t>Metodología</w:t>
      </w:r>
    </w:p>
    <w:p w14:paraId="3E54797E" w14:textId="77777777" w:rsidR="002D6022" w:rsidRPr="008D05DE" w:rsidRDefault="002D6022" w:rsidP="00A630DC">
      <w:pPr>
        <w:spacing w:after="0"/>
        <w:ind w:firstLine="284"/>
        <w:rPr>
          <w:rFonts w:ascii="Times New Roman" w:hAnsi="Times New Roman" w:cs="Times New Roman"/>
          <w:szCs w:val="24"/>
          <w:lang w:val="es-ES"/>
        </w:rPr>
      </w:pPr>
    </w:p>
    <w:p w14:paraId="7F058944" w14:textId="2479649C" w:rsidR="002F02F2" w:rsidRPr="002F02F2" w:rsidRDefault="002F02F2" w:rsidP="00A630DC">
      <w:pPr>
        <w:spacing w:after="0"/>
        <w:ind w:firstLine="270"/>
        <w:rPr>
          <w:rFonts w:ascii="Times New Roman" w:hAnsi="Times New Roman" w:cs="Times New Roman"/>
          <w:szCs w:val="24"/>
          <w:lang w:val="es-ES"/>
        </w:rPr>
      </w:pPr>
      <w:r w:rsidRPr="002F02F2">
        <w:rPr>
          <w:rFonts w:ascii="Times New Roman" w:hAnsi="Times New Roman" w:cs="Times New Roman"/>
          <w:szCs w:val="24"/>
          <w:lang w:val="es-ES"/>
        </w:rPr>
        <w:t xml:space="preserve">El presente documento se trabajó bajo el paradigma cuantitativo que de acuerdo a </w:t>
      </w:r>
      <w:r w:rsidR="00945853">
        <w:rPr>
          <w:rFonts w:ascii="Times New Roman" w:hAnsi="Times New Roman" w:cs="Times New Roman"/>
          <w:szCs w:val="24"/>
          <w:lang w:val="es-ES"/>
        </w:rPr>
        <w:fldChar w:fldCharType="begin" w:fldLock="1"/>
      </w:r>
      <w:r w:rsidR="00945853">
        <w:rPr>
          <w:rFonts w:ascii="Times New Roman" w:hAnsi="Times New Roman" w:cs="Times New Roman"/>
          <w:szCs w:val="24"/>
          <w:lang w:val="es-ES"/>
        </w:rPr>
        <w:instrText>ADDIN CSL_CITATION {"citationItems":[{"id":"ITEM-1","itemData":{"author":[{"dropping-particle":"","family":"Jaramillo","given":"Bartolo","non-dropping-particle":"","parse-names":false,"suffix":""}],"container-title":"Researchgate.Net","id":"ITEM-1","issue":"June","issued":{"date-parts":[["2020"]]},"page":"0-8","title":"\"Paradigma Cualitativo Vs Cuantitativo\"","type":"article-journal"},"uris":["http://www.mendeley.com/documents/?uuid=5323d3c4-ded6-4503-b471-db968f2a577c"]}],"mendeley":{"formattedCitation":"(Jaramillo, 2020)","plainTextFormattedCitation":"(Jaramillo, 2020)","previouslyFormattedCitation":"(Jaramillo, 2020)"},"properties":{"noteIndex":0},"schema":"https://github.com/citation-style-language/schema/raw/master/csl-citation.json"}</w:instrText>
      </w:r>
      <w:r w:rsidR="00945853">
        <w:rPr>
          <w:rFonts w:ascii="Times New Roman" w:hAnsi="Times New Roman" w:cs="Times New Roman"/>
          <w:szCs w:val="24"/>
          <w:lang w:val="es-ES"/>
        </w:rPr>
        <w:fldChar w:fldCharType="separate"/>
      </w:r>
      <w:r w:rsidR="00945853" w:rsidRPr="00945853">
        <w:rPr>
          <w:rFonts w:ascii="Times New Roman" w:hAnsi="Times New Roman" w:cs="Times New Roman"/>
          <w:noProof/>
          <w:szCs w:val="24"/>
          <w:lang w:val="es-ES"/>
        </w:rPr>
        <w:t>(Jaramillo, 2020)</w:t>
      </w:r>
      <w:r w:rsidR="00945853">
        <w:rPr>
          <w:rFonts w:ascii="Times New Roman" w:hAnsi="Times New Roman" w:cs="Times New Roman"/>
          <w:szCs w:val="24"/>
          <w:lang w:val="es-ES"/>
        </w:rPr>
        <w:fldChar w:fldCharType="end"/>
      </w:r>
      <w:r w:rsidR="00945853">
        <w:rPr>
          <w:rFonts w:ascii="Times New Roman" w:hAnsi="Times New Roman" w:cs="Times New Roman"/>
          <w:szCs w:val="24"/>
          <w:lang w:val="es-ES"/>
        </w:rPr>
        <w:t xml:space="preserve">, </w:t>
      </w:r>
      <w:r w:rsidRPr="002F02F2">
        <w:rPr>
          <w:rFonts w:ascii="Times New Roman" w:hAnsi="Times New Roman" w:cs="Times New Roman"/>
          <w:szCs w:val="24"/>
          <w:lang w:val="es-ES"/>
        </w:rPr>
        <w:t>predomina la prueba de hipótesis y la validez de las verdades depende del grado de significancia estadística, ya que esto asegura la reproducibilidad de experimentos en condiciones similares. Además, se analizan datos cuantitativos o cualitativos, pero el procesamiento e interpretación que se lleva a cabo es principalmente de naturaleza estadística.</w:t>
      </w:r>
    </w:p>
    <w:p w14:paraId="126FFC81" w14:textId="397F518C" w:rsidR="002F02F2" w:rsidRPr="002F02F2" w:rsidRDefault="002F02F2" w:rsidP="00A630DC">
      <w:pPr>
        <w:spacing w:after="0"/>
        <w:ind w:firstLine="270"/>
        <w:rPr>
          <w:rFonts w:ascii="Times New Roman" w:hAnsi="Times New Roman" w:cs="Times New Roman"/>
          <w:szCs w:val="24"/>
          <w:lang w:val="es-ES"/>
        </w:rPr>
      </w:pPr>
      <w:r w:rsidRPr="002F02F2">
        <w:rPr>
          <w:rFonts w:ascii="Times New Roman" w:hAnsi="Times New Roman" w:cs="Times New Roman"/>
          <w:szCs w:val="24"/>
          <w:lang w:val="es-ES"/>
        </w:rPr>
        <w:t xml:space="preserve">Adicionalmente se utilizó un enfoque empírico - analítico  porque parte de la realidad objetiva plasmada en la información de los estados financieros. Además, el método utilizado es deductivo con un tipo de investigación relacional, ya que según lo señalado por </w:t>
      </w:r>
      <w:r w:rsidR="00945853">
        <w:rPr>
          <w:rFonts w:ascii="Times New Roman" w:hAnsi="Times New Roman" w:cs="Times New Roman"/>
          <w:szCs w:val="24"/>
          <w:lang w:val="es-ES"/>
        </w:rPr>
        <w:fldChar w:fldCharType="begin" w:fldLock="1"/>
      </w:r>
      <w:r w:rsidR="00091119">
        <w:rPr>
          <w:rFonts w:ascii="Times New Roman" w:hAnsi="Times New Roman" w:cs="Times New Roman"/>
          <w:szCs w:val="24"/>
          <w:lang w:val="es-ES"/>
        </w:rPr>
        <w:instrText>ADDIN CSL_CITATION {"citationItems":[{"id":"ITEM-1","itemData":{"ISBN":"978-958-56924-7-3","abstract":"Introducción La investigación integrativa como investigación relacional presenta una doble particularidad: a) permitir a los investigadores una percepción, conectividad y reflexión mayor acerca de los flujos que dan forma, identidad y agitación a los fenómenos, y posibilitan ampliar la mirada acerca de las relaciones, transformaciones y dinámicas propias de los sistemas sociales, políticos, naturales y cósmicos; b) tomando en cuenta lo anterior, logra provocar un acercamiento dialógico al sentido que dichas innovaciones tienen en los sistemas investigados, aspecto que requiere de la reflexividad, es decir, de la acción intencionada de empatía, cognición, intuición, percepción y reacercamiento a las realidades investigadas (Andrade &amp; Rivera, 2019). Para lograr que se cumplan ambas condiciones, se requiere tomar en cuenta aspectos como: la interinfluencia con el sujeto investigado «relación sujeto-sujeto»; la incertidumbre propia de dicha relación «exploración, irreversibilidad, equilibrio relativo, lo emergente-organizacional»; la complejidad fenoménica «tejido conjunto-retículo, rizoma de eventos, saberes, emergencias, etc.», los niveles y tipos de conocimientos implicados «actitud hacia lo transdisciplinar»; y el diálogo entre saberes «propensión a lo dialógico», aspectos que ubican la investigación en el plano de la transdisciplina.","author":[{"dropping-particle":"","family":"Andrade","given":"José","non-dropping-particle":"","parse-names":false,"suffix":""}],"container-title":"Reflexiones sobre investigación integrativa. Una perspectiva inter y transdisciplinar.","id":"ITEM-1","issue":"February","issued":{"date-parts":[["2020"]]},"page":"65-89","title":"La investigación relacional y sus pilares: complejidad, rizoma y transdisciplina.","type":"article-journal"},"uris":["http://www.mendeley.com/documents/?uuid=e02b7e51-416a-49b0-86d9-2422f9a6c0d9"]}],"mendeley":{"formattedCitation":"(Andrade, 2020)","plainTextFormattedCitation":"(Andrade, 2020)","previouslyFormattedCitation":"(Andrade, 2020)"},"properties":{"noteIndex":0},"schema":"https://github.com/citation-style-language/schema/raw/master/csl-citation.json"}</w:instrText>
      </w:r>
      <w:r w:rsidR="00945853">
        <w:rPr>
          <w:rFonts w:ascii="Times New Roman" w:hAnsi="Times New Roman" w:cs="Times New Roman"/>
          <w:szCs w:val="24"/>
          <w:lang w:val="es-ES"/>
        </w:rPr>
        <w:fldChar w:fldCharType="separate"/>
      </w:r>
      <w:r w:rsidR="00945853" w:rsidRPr="00945853">
        <w:rPr>
          <w:rFonts w:ascii="Times New Roman" w:hAnsi="Times New Roman" w:cs="Times New Roman"/>
          <w:noProof/>
          <w:szCs w:val="24"/>
          <w:lang w:val="es-ES"/>
        </w:rPr>
        <w:t>Andrade</w:t>
      </w:r>
      <w:r w:rsidR="00AC1EEA">
        <w:rPr>
          <w:rFonts w:ascii="Times New Roman" w:hAnsi="Times New Roman" w:cs="Times New Roman"/>
          <w:noProof/>
          <w:szCs w:val="24"/>
          <w:lang w:val="es-ES"/>
        </w:rPr>
        <w:t xml:space="preserve"> (</w:t>
      </w:r>
      <w:r w:rsidR="00945853" w:rsidRPr="00945853">
        <w:rPr>
          <w:rFonts w:ascii="Times New Roman" w:hAnsi="Times New Roman" w:cs="Times New Roman"/>
          <w:noProof/>
          <w:szCs w:val="24"/>
          <w:lang w:val="es-ES"/>
        </w:rPr>
        <w:t>2020)</w:t>
      </w:r>
      <w:r w:rsidR="00945853">
        <w:rPr>
          <w:rFonts w:ascii="Times New Roman" w:hAnsi="Times New Roman" w:cs="Times New Roman"/>
          <w:szCs w:val="24"/>
          <w:lang w:val="es-ES"/>
        </w:rPr>
        <w:fldChar w:fldCharType="end"/>
      </w:r>
      <w:r w:rsidR="00945853">
        <w:rPr>
          <w:rFonts w:ascii="Times New Roman" w:hAnsi="Times New Roman" w:cs="Times New Roman"/>
          <w:szCs w:val="24"/>
          <w:lang w:val="es-ES"/>
        </w:rPr>
        <w:t xml:space="preserve"> </w:t>
      </w:r>
      <w:r w:rsidRPr="002F02F2">
        <w:rPr>
          <w:rFonts w:ascii="Times New Roman" w:hAnsi="Times New Roman" w:cs="Times New Roman"/>
          <w:szCs w:val="24"/>
          <w:lang w:val="es-ES"/>
        </w:rPr>
        <w:t>la perspectiva relacional implica “reconocer, integrar y poner en relación” lo que significa reconocer que toda investigación tiene un carácter, una intención y una práctica relacional.</w:t>
      </w:r>
    </w:p>
    <w:p w14:paraId="6D368BA5" w14:textId="50EB234A" w:rsidR="002F02F2" w:rsidRPr="002F02F2" w:rsidRDefault="002F02F2" w:rsidP="00A630DC">
      <w:pPr>
        <w:spacing w:after="0"/>
        <w:ind w:firstLine="270"/>
        <w:rPr>
          <w:rFonts w:ascii="Times New Roman" w:hAnsi="Times New Roman" w:cs="Times New Roman"/>
          <w:szCs w:val="24"/>
          <w:lang w:val="es-ES"/>
        </w:rPr>
      </w:pPr>
      <w:r w:rsidRPr="002F02F2">
        <w:rPr>
          <w:rFonts w:ascii="Times New Roman" w:hAnsi="Times New Roman" w:cs="Times New Roman"/>
          <w:szCs w:val="24"/>
          <w:lang w:val="es-ES"/>
        </w:rPr>
        <w:t xml:space="preserve">Para dar confiabilidad a los resultados, la investigación se complementó mediante el método correlacional, es un </w:t>
      </w:r>
      <w:r w:rsidR="00CF107C" w:rsidRPr="002F02F2">
        <w:rPr>
          <w:rFonts w:ascii="Times New Roman" w:hAnsi="Times New Roman" w:cs="Times New Roman"/>
          <w:szCs w:val="24"/>
          <w:lang w:val="es-ES"/>
        </w:rPr>
        <w:t>procedimiento</w:t>
      </w:r>
      <w:r w:rsidRPr="002F02F2">
        <w:rPr>
          <w:rFonts w:ascii="Times New Roman" w:hAnsi="Times New Roman" w:cs="Times New Roman"/>
          <w:szCs w:val="24"/>
          <w:lang w:val="es-ES"/>
        </w:rPr>
        <w:t xml:space="preserve"> no experimental que busca explicar </w:t>
      </w:r>
      <w:r w:rsidR="000A5A4E" w:rsidRPr="000A5A4E">
        <w:rPr>
          <w:rFonts w:ascii="Times New Roman" w:hAnsi="Times New Roman" w:cs="Times New Roman"/>
          <w:szCs w:val="24"/>
          <w:lang w:val="es-ES"/>
        </w:rPr>
        <w:t>los vínculos entre las variables en marcos naturales sin intervención. Este tipo de investigación determina en qué medida un cambio en una variable se debe a cambios en otra u otras variables.</w:t>
      </w:r>
      <w:r w:rsidR="000A5A4E">
        <w:rPr>
          <w:rFonts w:ascii="Times New Roman" w:hAnsi="Times New Roman" w:cs="Times New Roman"/>
          <w:szCs w:val="24"/>
          <w:lang w:val="es-ES"/>
        </w:rPr>
        <w:t xml:space="preserve"> </w:t>
      </w:r>
      <w:r w:rsidRPr="002F02F2">
        <w:rPr>
          <w:rFonts w:ascii="Times New Roman" w:hAnsi="Times New Roman" w:cs="Times New Roman"/>
          <w:szCs w:val="24"/>
          <w:lang w:val="es-ES"/>
        </w:rPr>
        <w:t xml:space="preserve">El coeficiente de correlación, cuyo estadístico depende del comportamiento de las variables estudiadas, se utiliza para medir la fuerza y dirección de la relación. El coeficiente de correlación tiene un valor que oscila entre -1 y 1, la correlación es mayor cuando el coeficiente se aleja más del valor cero, </w:t>
      </w:r>
      <w:r w:rsidR="00091119">
        <w:rPr>
          <w:rFonts w:ascii="Times New Roman" w:hAnsi="Times New Roman" w:cs="Times New Roman"/>
          <w:szCs w:val="24"/>
          <w:lang w:val="es-ES"/>
        </w:rPr>
        <w:fldChar w:fldCharType="begin" w:fldLock="1"/>
      </w:r>
      <w:r w:rsidR="000B77F5">
        <w:rPr>
          <w:rFonts w:ascii="Times New Roman" w:hAnsi="Times New Roman" w:cs="Times New Roman"/>
          <w:szCs w:val="24"/>
          <w:lang w:val="es-ES"/>
        </w:rPr>
        <w:instrText>ADDIN CSL_CITATION {"citationItems":[{"id":"ITEM-1","itemData":{"author":[{"dropping-particle":"","family":"Garcia - Saenz","given":"Maria Paz","non-dropping-particle":"","parse-names":false,"suffix":""}],"id":"ITEM-1","issued":{"date-parts":[["2012"]]},"title":"12 Metodologc3Ada-1-Garcia-Y-Martinez.Pdf","type":"chapter"},"uris":["http://www.mendeley.com/documents/?uuid=187b9362-1297-4773-a721-edcc9c31d8b7"]}],"mendeley":{"formattedCitation":"(Garcia - Saenz, 2012)","plainTextFormattedCitation":"(Garcia - Saenz, 2012)","previouslyFormattedCitation":"(Garcia - Saenz, 2012)"},"properties":{"noteIndex":0},"schema":"https://github.com/citation-style-language/schema/raw/master/csl-citation.json"}</w:instrText>
      </w:r>
      <w:r w:rsidR="00091119">
        <w:rPr>
          <w:rFonts w:ascii="Times New Roman" w:hAnsi="Times New Roman" w:cs="Times New Roman"/>
          <w:szCs w:val="24"/>
          <w:lang w:val="es-ES"/>
        </w:rPr>
        <w:fldChar w:fldCharType="separate"/>
      </w:r>
      <w:r w:rsidR="00091119" w:rsidRPr="00091119">
        <w:rPr>
          <w:rFonts w:ascii="Times New Roman" w:hAnsi="Times New Roman" w:cs="Times New Roman"/>
          <w:noProof/>
          <w:szCs w:val="24"/>
          <w:lang w:val="es-ES"/>
        </w:rPr>
        <w:t>(Garcia-Saenz, 2012)</w:t>
      </w:r>
      <w:r w:rsidR="00091119">
        <w:rPr>
          <w:rFonts w:ascii="Times New Roman" w:hAnsi="Times New Roman" w:cs="Times New Roman"/>
          <w:szCs w:val="24"/>
          <w:lang w:val="es-ES"/>
        </w:rPr>
        <w:fldChar w:fldCharType="end"/>
      </w:r>
      <w:r w:rsidR="00091119">
        <w:rPr>
          <w:rFonts w:ascii="Times New Roman" w:hAnsi="Times New Roman" w:cs="Times New Roman"/>
          <w:szCs w:val="24"/>
          <w:lang w:val="es-ES"/>
        </w:rPr>
        <w:t>.</w:t>
      </w:r>
    </w:p>
    <w:p w14:paraId="60982E47" w14:textId="77777777" w:rsidR="002F02F2" w:rsidRPr="002F02F2" w:rsidRDefault="002F02F2" w:rsidP="00A630DC">
      <w:pPr>
        <w:spacing w:after="0"/>
        <w:ind w:firstLine="270"/>
        <w:rPr>
          <w:rFonts w:ascii="Times New Roman" w:hAnsi="Times New Roman" w:cs="Times New Roman"/>
          <w:szCs w:val="24"/>
          <w:lang w:val="es-ES"/>
        </w:rPr>
      </w:pPr>
      <w:r w:rsidRPr="002F02F2">
        <w:rPr>
          <w:rFonts w:ascii="Times New Roman" w:hAnsi="Times New Roman" w:cs="Times New Roman"/>
          <w:szCs w:val="24"/>
          <w:lang w:val="es-ES"/>
        </w:rPr>
        <w:t>Se tomó como población objeto de estudio los estados financieros que proporcionaron las grandes empresas del sector comercio en Colombia ante la Superintendencia de Sociedades durante los años 2016, 2017, 2018, 2019, 2020, 2021 y 2022 los cuales ascendieron a una cantidad de 666, 664, 657, 698, 653, 729 y 759 respectivamente.</w:t>
      </w:r>
    </w:p>
    <w:p w14:paraId="7DDF9B6D" w14:textId="40874ABF" w:rsidR="00C91905" w:rsidRDefault="002F02F2" w:rsidP="00A630DC">
      <w:pPr>
        <w:spacing w:after="0"/>
        <w:ind w:firstLine="270"/>
        <w:rPr>
          <w:rFonts w:ascii="Times New Roman" w:hAnsi="Times New Roman" w:cs="Times New Roman"/>
          <w:szCs w:val="24"/>
          <w:lang w:val="es-ES"/>
        </w:rPr>
      </w:pPr>
      <w:r w:rsidRPr="002F02F2">
        <w:rPr>
          <w:rFonts w:ascii="Times New Roman" w:hAnsi="Times New Roman" w:cs="Times New Roman"/>
          <w:szCs w:val="24"/>
          <w:lang w:val="es-ES"/>
        </w:rPr>
        <w:t>En cuanto a las herramientas de recolección de información, se obtuvieron datos a través de la ficha de revisión documental de los estados financieros anuales individuales, particularmente de los estados de situación financiera y estados de resultados que se publican en la Superintendenc</w:t>
      </w:r>
      <w:r w:rsidR="000B77F5">
        <w:rPr>
          <w:rFonts w:ascii="Times New Roman" w:hAnsi="Times New Roman" w:cs="Times New Roman"/>
          <w:szCs w:val="24"/>
          <w:lang w:val="es-ES"/>
        </w:rPr>
        <w:t xml:space="preserve">ia de Sociedades. De acuerdo a </w:t>
      </w:r>
      <w:r w:rsidR="000B77F5">
        <w:rPr>
          <w:rFonts w:ascii="Times New Roman" w:hAnsi="Times New Roman" w:cs="Times New Roman"/>
          <w:szCs w:val="24"/>
          <w:lang w:val="es-ES"/>
        </w:rPr>
        <w:fldChar w:fldCharType="begin" w:fldLock="1"/>
      </w:r>
      <w:r w:rsidR="003D785B">
        <w:rPr>
          <w:rFonts w:ascii="Times New Roman" w:hAnsi="Times New Roman" w:cs="Times New Roman"/>
          <w:szCs w:val="24"/>
          <w:lang w:val="es-ES"/>
        </w:rPr>
        <w:instrText>ADDIN CSL_CITATION {"citationItems":[{"id":"ITEM-1","itemData":{"abstract":"La teoría del capital humano establece que hay una relación directa entre la experiencia, los años de escolaridad y la salud, frente a los retornos futuros por la educación. De igual manera afirma que existe una educa-ción general y otra específica (Gómez y","author":[{"dropping-particle":"","family":"Lindemann","given":"Por Hans-jürgen","non-dropping-particle":"","parse-names":false,"suffix":""}],"id":"ITEM-1","issued":{"date-parts":[["2006"]]},"page":"1-24","title":"Antecedentes Introducción","type":"article-journal","volume":"1"},"uris":["http://www.mendeley.com/documents/?uuid=16d8fe4a-c282-4742-943f-8622476abd35"]}],"mendeley":{"formattedCitation":"(Lindemann, 2006)","manualFormatting":"(Lindemann, 2016)","plainTextFormattedCitation":"(Lindemann, 2006)","previouslyFormattedCitation":"(Lindemann, 2006)"},"properties":{"noteIndex":0},"schema":"https://github.com/citation-style-language/schema/raw/master/csl-citation.json"}</w:instrText>
      </w:r>
      <w:r w:rsidR="000B77F5">
        <w:rPr>
          <w:rFonts w:ascii="Times New Roman" w:hAnsi="Times New Roman" w:cs="Times New Roman"/>
          <w:szCs w:val="24"/>
          <w:lang w:val="es-ES"/>
        </w:rPr>
        <w:fldChar w:fldCharType="separate"/>
      </w:r>
      <w:r w:rsidR="003D785B">
        <w:rPr>
          <w:rFonts w:ascii="Times New Roman" w:hAnsi="Times New Roman" w:cs="Times New Roman"/>
          <w:noProof/>
          <w:szCs w:val="24"/>
          <w:lang w:val="es-ES"/>
        </w:rPr>
        <w:t>Lindemann</w:t>
      </w:r>
      <w:r w:rsidR="00AC1EEA">
        <w:rPr>
          <w:rFonts w:ascii="Times New Roman" w:hAnsi="Times New Roman" w:cs="Times New Roman"/>
          <w:noProof/>
          <w:szCs w:val="24"/>
          <w:lang w:val="es-ES"/>
        </w:rPr>
        <w:t xml:space="preserve"> (</w:t>
      </w:r>
      <w:r w:rsidR="003D785B">
        <w:rPr>
          <w:rFonts w:ascii="Times New Roman" w:hAnsi="Times New Roman" w:cs="Times New Roman"/>
          <w:noProof/>
          <w:szCs w:val="24"/>
          <w:lang w:val="es-ES"/>
        </w:rPr>
        <w:t>201</w:t>
      </w:r>
      <w:r w:rsidR="000B77F5" w:rsidRPr="000B77F5">
        <w:rPr>
          <w:rFonts w:ascii="Times New Roman" w:hAnsi="Times New Roman" w:cs="Times New Roman"/>
          <w:noProof/>
          <w:szCs w:val="24"/>
          <w:lang w:val="es-ES"/>
        </w:rPr>
        <w:t>6)</w:t>
      </w:r>
      <w:r w:rsidR="000B77F5">
        <w:rPr>
          <w:rFonts w:ascii="Times New Roman" w:hAnsi="Times New Roman" w:cs="Times New Roman"/>
          <w:szCs w:val="24"/>
          <w:lang w:val="es-ES"/>
        </w:rPr>
        <w:fldChar w:fldCharType="end"/>
      </w:r>
      <w:r w:rsidRPr="002F02F2">
        <w:rPr>
          <w:rFonts w:ascii="Times New Roman" w:hAnsi="Times New Roman" w:cs="Times New Roman"/>
          <w:szCs w:val="24"/>
          <w:lang w:val="es-ES"/>
        </w:rPr>
        <w:t xml:space="preserve"> la ficha de revisión documental permite la identificación de investigaciones anteriores, sus autores y los debates relacionados; describe el ámbito de estudio y establece las premisas iniciales. Combina fuentes para crear una base teórica; establece vínculos entre varios trabajos; sigue el rastro de preguntas y objetivos de investigación; examina las metodologías utilizadas; </w:t>
      </w:r>
      <w:r w:rsidR="001E7626" w:rsidRPr="001E7626">
        <w:rPr>
          <w:rFonts w:ascii="Times New Roman" w:hAnsi="Times New Roman" w:cs="Times New Roman"/>
          <w:szCs w:val="24"/>
          <w:lang w:val="es-ES"/>
        </w:rPr>
        <w:t>destaca las similitudes y diferencias entre los trabajos y las ideas del investigador; organiza experiencias; identifica los elementos más tratados utilizando enfoques observacionales; y establece límites a las áreas que aún no se han explorado.</w:t>
      </w:r>
      <w:r w:rsidR="001E7626">
        <w:rPr>
          <w:rFonts w:ascii="Times New Roman" w:hAnsi="Times New Roman" w:cs="Times New Roman"/>
          <w:szCs w:val="24"/>
          <w:lang w:val="es-ES"/>
        </w:rPr>
        <w:t xml:space="preserve"> </w:t>
      </w:r>
      <w:r w:rsidRPr="002F02F2">
        <w:rPr>
          <w:rFonts w:ascii="Times New Roman" w:hAnsi="Times New Roman" w:cs="Times New Roman"/>
          <w:szCs w:val="24"/>
          <w:lang w:val="es-ES"/>
        </w:rPr>
        <w:t>Para la consecución de los siguientes resultados, se tomaron como variables las que se muestran en la tabla 1.</w:t>
      </w:r>
    </w:p>
    <w:p w14:paraId="71541237" w14:textId="77777777" w:rsidR="00A630DC" w:rsidRDefault="00A630DC" w:rsidP="00A630DC">
      <w:pPr>
        <w:spacing w:after="0"/>
        <w:rPr>
          <w:rFonts w:ascii="Times New Roman" w:hAnsi="Times New Roman" w:cs="Times New Roman"/>
          <w:b/>
          <w:bCs/>
          <w:sz w:val="20"/>
          <w:szCs w:val="20"/>
          <w:lang w:val="es-ES"/>
        </w:rPr>
      </w:pPr>
    </w:p>
    <w:p w14:paraId="229D015A" w14:textId="3DE76680" w:rsidR="002C58BD" w:rsidRPr="008D05DE" w:rsidRDefault="002C58BD" w:rsidP="00A630DC">
      <w:pPr>
        <w:spacing w:after="0"/>
        <w:rPr>
          <w:rFonts w:ascii="Times New Roman" w:hAnsi="Times New Roman" w:cs="Times New Roman"/>
          <w:b/>
          <w:bCs/>
          <w:i/>
          <w:iCs/>
          <w:sz w:val="20"/>
          <w:szCs w:val="20"/>
          <w:lang w:val="es-ES"/>
        </w:rPr>
      </w:pPr>
      <w:r w:rsidRPr="002C58BD">
        <w:rPr>
          <w:rFonts w:ascii="Times New Roman" w:hAnsi="Times New Roman" w:cs="Times New Roman"/>
          <w:b/>
          <w:bCs/>
          <w:sz w:val="20"/>
          <w:szCs w:val="20"/>
          <w:lang w:val="es-ES"/>
        </w:rPr>
        <w:lastRenderedPageBreak/>
        <w:t xml:space="preserve">Tabla </w:t>
      </w:r>
      <w:r w:rsidRPr="002C58BD">
        <w:rPr>
          <w:rFonts w:ascii="Times New Roman" w:hAnsi="Times New Roman" w:cs="Times New Roman"/>
          <w:b/>
          <w:bCs/>
          <w:sz w:val="20"/>
          <w:szCs w:val="20"/>
          <w:lang w:val="es-ES"/>
        </w:rPr>
        <w:fldChar w:fldCharType="begin"/>
      </w:r>
      <w:r w:rsidRPr="002C58BD">
        <w:rPr>
          <w:rFonts w:ascii="Times New Roman" w:hAnsi="Times New Roman" w:cs="Times New Roman"/>
          <w:b/>
          <w:bCs/>
          <w:sz w:val="20"/>
          <w:szCs w:val="20"/>
          <w:lang w:val="es-ES"/>
        </w:rPr>
        <w:instrText xml:space="preserve"> SEQ Tabla \* ARABIC </w:instrText>
      </w:r>
      <w:r w:rsidRPr="002C58BD">
        <w:rPr>
          <w:rFonts w:ascii="Times New Roman" w:hAnsi="Times New Roman" w:cs="Times New Roman"/>
          <w:b/>
          <w:bCs/>
          <w:sz w:val="20"/>
          <w:szCs w:val="20"/>
          <w:lang w:val="es-ES"/>
        </w:rPr>
        <w:fldChar w:fldCharType="separate"/>
      </w:r>
      <w:r w:rsidR="005A3813">
        <w:rPr>
          <w:rFonts w:ascii="Times New Roman" w:hAnsi="Times New Roman" w:cs="Times New Roman"/>
          <w:b/>
          <w:bCs/>
          <w:noProof/>
          <w:sz w:val="20"/>
          <w:szCs w:val="20"/>
          <w:lang w:val="es-ES"/>
        </w:rPr>
        <w:t>1</w:t>
      </w:r>
      <w:r w:rsidRPr="002C58BD">
        <w:rPr>
          <w:rFonts w:ascii="Times New Roman" w:hAnsi="Times New Roman" w:cs="Times New Roman"/>
          <w:b/>
          <w:bCs/>
          <w:sz w:val="20"/>
          <w:szCs w:val="20"/>
          <w:lang w:val="es-ES"/>
        </w:rPr>
        <w:fldChar w:fldCharType="end"/>
      </w:r>
      <w:r w:rsidRPr="002C58BD">
        <w:rPr>
          <w:rFonts w:ascii="Times New Roman" w:hAnsi="Times New Roman" w:cs="Times New Roman"/>
          <w:b/>
          <w:bCs/>
          <w:sz w:val="20"/>
          <w:szCs w:val="20"/>
          <w:lang w:val="es-ES"/>
        </w:rPr>
        <w:t>.</w:t>
      </w:r>
      <w:r w:rsidR="0037351F">
        <w:rPr>
          <w:rFonts w:ascii="Times New Roman" w:hAnsi="Times New Roman" w:cs="Times New Roman"/>
          <w:b/>
          <w:bCs/>
          <w:sz w:val="20"/>
          <w:szCs w:val="20"/>
          <w:lang w:val="es-ES"/>
        </w:rPr>
        <w:t xml:space="preserve"> </w:t>
      </w:r>
      <w:r w:rsidRPr="002C58BD">
        <w:rPr>
          <w:rFonts w:ascii="Times New Roman" w:hAnsi="Times New Roman" w:cs="Times New Roman"/>
          <w:b/>
          <w:bCs/>
          <w:i/>
          <w:iCs/>
          <w:sz w:val="20"/>
          <w:szCs w:val="20"/>
          <w:lang w:val="es-ES"/>
        </w:rPr>
        <w:t>Variables dependientes e independientes</w:t>
      </w:r>
    </w:p>
    <w:tbl>
      <w:tblPr>
        <w:tblStyle w:val="Tablaconcuadrcula"/>
        <w:tblW w:w="0" w:type="auto"/>
        <w:jc w:val="center"/>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3212"/>
        <w:gridCol w:w="2989"/>
      </w:tblGrid>
      <w:tr w:rsidR="00D33DDA" w:rsidRPr="008D05DE" w14:paraId="110F3140" w14:textId="77777777" w:rsidTr="0014344A">
        <w:trPr>
          <w:trHeight w:val="264"/>
          <w:jc w:val="center"/>
        </w:trPr>
        <w:tc>
          <w:tcPr>
            <w:tcW w:w="0" w:type="auto"/>
          </w:tcPr>
          <w:p w14:paraId="57228AF8" w14:textId="6279715D" w:rsidR="00A73371" w:rsidRPr="00A73371" w:rsidRDefault="00D33DDA" w:rsidP="00A630DC">
            <w:pPr>
              <w:spacing w:after="0"/>
              <w:jc w:val="center"/>
              <w:rPr>
                <w:rFonts w:ascii="Times New Roman" w:hAnsi="Times New Roman" w:cs="Times New Roman"/>
                <w:b/>
                <w:bCs/>
                <w:sz w:val="20"/>
                <w:szCs w:val="16"/>
                <w:lang w:val="es-ES"/>
              </w:rPr>
            </w:pPr>
            <w:r w:rsidRPr="00A73371">
              <w:rPr>
                <w:rFonts w:ascii="Times New Roman" w:hAnsi="Times New Roman" w:cs="Times New Roman"/>
                <w:b/>
                <w:bCs/>
                <w:sz w:val="20"/>
                <w:szCs w:val="16"/>
                <w:lang w:val="es-ES"/>
              </w:rPr>
              <w:t>V</w:t>
            </w:r>
            <w:r w:rsidR="00A73371">
              <w:rPr>
                <w:rFonts w:ascii="Times New Roman" w:hAnsi="Times New Roman" w:cs="Times New Roman"/>
                <w:b/>
                <w:bCs/>
                <w:sz w:val="20"/>
                <w:szCs w:val="16"/>
                <w:lang w:val="es-ES"/>
              </w:rPr>
              <w:t>ARIABLES INDEPENDIENTES</w:t>
            </w:r>
          </w:p>
        </w:tc>
        <w:tc>
          <w:tcPr>
            <w:tcW w:w="0" w:type="auto"/>
          </w:tcPr>
          <w:p w14:paraId="49244F9E" w14:textId="30C8AA82" w:rsidR="00D33DDA" w:rsidRPr="00A73371" w:rsidRDefault="00AA64DD" w:rsidP="00A630DC">
            <w:pPr>
              <w:spacing w:after="0"/>
              <w:jc w:val="center"/>
              <w:rPr>
                <w:rFonts w:ascii="Times New Roman" w:hAnsi="Times New Roman" w:cs="Times New Roman"/>
                <w:b/>
                <w:bCs/>
                <w:sz w:val="20"/>
                <w:szCs w:val="16"/>
                <w:lang w:val="es-ES"/>
              </w:rPr>
            </w:pPr>
            <w:r>
              <w:rPr>
                <w:rFonts w:ascii="Times New Roman" w:hAnsi="Times New Roman" w:cs="Times New Roman"/>
                <w:b/>
                <w:bCs/>
                <w:sz w:val="20"/>
                <w:szCs w:val="16"/>
                <w:lang w:val="es-ES"/>
              </w:rPr>
              <w:t>VAR</w:t>
            </w:r>
            <w:r w:rsidR="00D33DDA" w:rsidRPr="00A73371">
              <w:rPr>
                <w:rFonts w:ascii="Times New Roman" w:hAnsi="Times New Roman" w:cs="Times New Roman"/>
                <w:b/>
                <w:bCs/>
                <w:sz w:val="20"/>
                <w:szCs w:val="16"/>
                <w:lang w:val="es-ES"/>
              </w:rPr>
              <w:t>I</w:t>
            </w:r>
            <w:r>
              <w:rPr>
                <w:rFonts w:ascii="Times New Roman" w:hAnsi="Times New Roman" w:cs="Times New Roman"/>
                <w:b/>
                <w:bCs/>
                <w:sz w:val="20"/>
                <w:szCs w:val="16"/>
                <w:lang w:val="es-ES"/>
              </w:rPr>
              <w:t>A</w:t>
            </w:r>
            <w:r w:rsidR="00D33DDA" w:rsidRPr="00A73371">
              <w:rPr>
                <w:rFonts w:ascii="Times New Roman" w:hAnsi="Times New Roman" w:cs="Times New Roman"/>
                <w:b/>
                <w:bCs/>
                <w:sz w:val="20"/>
                <w:szCs w:val="16"/>
                <w:lang w:val="es-ES"/>
              </w:rPr>
              <w:t>BLES DEPENDIENTES</w:t>
            </w:r>
          </w:p>
        </w:tc>
      </w:tr>
      <w:tr w:rsidR="00D33DDA" w:rsidRPr="008D05DE" w14:paraId="24ACFF3B" w14:textId="77777777" w:rsidTr="0014344A">
        <w:trPr>
          <w:trHeight w:val="224"/>
          <w:jc w:val="center"/>
        </w:trPr>
        <w:tc>
          <w:tcPr>
            <w:tcW w:w="0" w:type="auto"/>
          </w:tcPr>
          <w:p w14:paraId="6B16DD56" w14:textId="06E6C9E0"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 xml:space="preserve">Rotación de inventario </w:t>
            </w:r>
          </w:p>
        </w:tc>
        <w:tc>
          <w:tcPr>
            <w:tcW w:w="0" w:type="auto"/>
          </w:tcPr>
          <w:p w14:paraId="67362EC4" w14:textId="5EDB4C19"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Margen bruto</w:t>
            </w:r>
          </w:p>
        </w:tc>
      </w:tr>
      <w:tr w:rsidR="00D33DDA" w:rsidRPr="008D05DE" w14:paraId="147EB482" w14:textId="77777777" w:rsidTr="0014344A">
        <w:trPr>
          <w:trHeight w:val="224"/>
          <w:jc w:val="center"/>
        </w:trPr>
        <w:tc>
          <w:tcPr>
            <w:tcW w:w="0" w:type="auto"/>
          </w:tcPr>
          <w:p w14:paraId="31DC1478" w14:textId="1E0354FC"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Rotación de cartera</w:t>
            </w:r>
          </w:p>
        </w:tc>
        <w:tc>
          <w:tcPr>
            <w:tcW w:w="0" w:type="auto"/>
          </w:tcPr>
          <w:p w14:paraId="630A12C3" w14:textId="00E0000C"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Margen operativo</w:t>
            </w:r>
          </w:p>
        </w:tc>
      </w:tr>
      <w:tr w:rsidR="00D33DDA" w:rsidRPr="008D05DE" w14:paraId="54825953" w14:textId="77777777" w:rsidTr="0014344A">
        <w:trPr>
          <w:trHeight w:val="224"/>
          <w:jc w:val="center"/>
        </w:trPr>
        <w:tc>
          <w:tcPr>
            <w:tcW w:w="0" w:type="auto"/>
          </w:tcPr>
          <w:p w14:paraId="4649C4CD" w14:textId="2C6E7E30"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Rotación de proveedores</w:t>
            </w:r>
          </w:p>
        </w:tc>
        <w:tc>
          <w:tcPr>
            <w:tcW w:w="0" w:type="auto"/>
          </w:tcPr>
          <w:p w14:paraId="170FCEEF" w14:textId="25EBC943"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ROA</w:t>
            </w:r>
          </w:p>
        </w:tc>
      </w:tr>
      <w:tr w:rsidR="00D33DDA" w:rsidRPr="008D05DE" w14:paraId="56B0D5CE" w14:textId="77777777" w:rsidTr="0014344A">
        <w:trPr>
          <w:trHeight w:val="224"/>
          <w:jc w:val="center"/>
        </w:trPr>
        <w:tc>
          <w:tcPr>
            <w:tcW w:w="0" w:type="auto"/>
          </w:tcPr>
          <w:p w14:paraId="3668D08F" w14:textId="6194DBCD"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Ciclo de caja de efectivo (CCE)</w:t>
            </w:r>
          </w:p>
        </w:tc>
        <w:tc>
          <w:tcPr>
            <w:tcW w:w="0" w:type="auto"/>
          </w:tcPr>
          <w:p w14:paraId="6E15D59D" w14:textId="26C14278" w:rsidR="00D33DDA" w:rsidRPr="00A73371" w:rsidRDefault="00D33DDA" w:rsidP="00A630DC">
            <w:pPr>
              <w:spacing w:after="0"/>
              <w:jc w:val="left"/>
              <w:rPr>
                <w:rFonts w:ascii="Times New Roman" w:hAnsi="Times New Roman" w:cs="Times New Roman"/>
                <w:sz w:val="20"/>
                <w:szCs w:val="16"/>
                <w:lang w:val="es-ES"/>
              </w:rPr>
            </w:pPr>
            <w:r w:rsidRPr="00A73371">
              <w:rPr>
                <w:rFonts w:ascii="Times New Roman" w:hAnsi="Times New Roman" w:cs="Times New Roman"/>
                <w:sz w:val="20"/>
                <w:szCs w:val="16"/>
                <w:lang w:val="es-ES"/>
              </w:rPr>
              <w:t>ROE</w:t>
            </w:r>
          </w:p>
        </w:tc>
      </w:tr>
    </w:tbl>
    <w:p w14:paraId="0A754C7F" w14:textId="3685DB4F" w:rsidR="002732EF" w:rsidRPr="008D05DE" w:rsidRDefault="002732EF" w:rsidP="00A630DC">
      <w:pPr>
        <w:spacing w:after="0"/>
        <w:rPr>
          <w:rFonts w:ascii="Times New Roman" w:hAnsi="Times New Roman" w:cs="Times New Roman"/>
          <w:sz w:val="20"/>
          <w:szCs w:val="20"/>
          <w:lang w:val="es-ES"/>
        </w:rPr>
      </w:pPr>
      <w:r w:rsidRPr="008D05DE">
        <w:rPr>
          <w:rFonts w:ascii="Times New Roman" w:hAnsi="Times New Roman" w:cs="Times New Roman"/>
          <w:b/>
          <w:bCs/>
          <w:sz w:val="20"/>
          <w:szCs w:val="20"/>
          <w:lang w:val="es-ES"/>
        </w:rPr>
        <w:t>Fuente:</w:t>
      </w:r>
      <w:r w:rsidRPr="008D05DE">
        <w:rPr>
          <w:rFonts w:ascii="Times New Roman" w:hAnsi="Times New Roman" w:cs="Times New Roman"/>
          <w:sz w:val="20"/>
          <w:szCs w:val="20"/>
          <w:lang w:val="es-ES"/>
        </w:rPr>
        <w:t xml:space="preserve"> </w:t>
      </w:r>
      <w:r w:rsidR="007E7092" w:rsidRPr="008D05DE">
        <w:rPr>
          <w:rFonts w:ascii="Times New Roman" w:hAnsi="Times New Roman" w:cs="Times New Roman"/>
          <w:sz w:val="20"/>
          <w:szCs w:val="20"/>
          <w:lang w:val="es-ES"/>
        </w:rPr>
        <w:t>elaboración propia</w:t>
      </w:r>
      <w:r w:rsidRPr="008D05DE">
        <w:rPr>
          <w:rFonts w:ascii="Times New Roman" w:hAnsi="Times New Roman" w:cs="Times New Roman"/>
          <w:sz w:val="20"/>
          <w:szCs w:val="20"/>
          <w:lang w:val="es-ES"/>
        </w:rPr>
        <w:t>.</w:t>
      </w:r>
    </w:p>
    <w:p w14:paraId="233B60FF" w14:textId="77777777" w:rsidR="007E7092" w:rsidRPr="008D05DE" w:rsidRDefault="007E7092" w:rsidP="00A630DC">
      <w:pPr>
        <w:spacing w:after="0"/>
        <w:rPr>
          <w:rFonts w:ascii="Times New Roman" w:hAnsi="Times New Roman" w:cs="Times New Roman"/>
          <w:szCs w:val="24"/>
          <w:lang w:val="es-ES"/>
        </w:rPr>
      </w:pPr>
    </w:p>
    <w:p w14:paraId="03722142" w14:textId="6FBFFB75" w:rsidR="00562629" w:rsidRPr="0014344A" w:rsidRDefault="00686C13" w:rsidP="00A630DC">
      <w:pPr>
        <w:pStyle w:val="Prrafodelista"/>
        <w:numPr>
          <w:ilvl w:val="0"/>
          <w:numId w:val="11"/>
        </w:numPr>
        <w:spacing w:after="0"/>
        <w:rPr>
          <w:rFonts w:ascii="Times New Roman" w:hAnsi="Times New Roman" w:cs="Times New Roman"/>
          <w:b/>
          <w:szCs w:val="24"/>
          <w:lang w:val="es-ES"/>
        </w:rPr>
      </w:pPr>
      <w:r w:rsidRPr="0014344A">
        <w:rPr>
          <w:rFonts w:ascii="Times New Roman" w:eastAsia="Times New Roman" w:hAnsi="Times New Roman" w:cs="Times New Roman"/>
          <w:b/>
          <w:szCs w:val="24"/>
          <w:lang w:val="es-ES" w:eastAsia="es-ES"/>
        </w:rPr>
        <w:t>Plan de redacción</w:t>
      </w:r>
    </w:p>
    <w:p w14:paraId="6EB3FF5C" w14:textId="77777777" w:rsidR="00B52791" w:rsidRPr="008D05DE" w:rsidRDefault="00B52791" w:rsidP="00A630DC">
      <w:pPr>
        <w:pStyle w:val="Prrafodelista"/>
        <w:spacing w:after="0"/>
        <w:ind w:left="0"/>
        <w:rPr>
          <w:rFonts w:ascii="Times New Roman" w:hAnsi="Times New Roman" w:cs="Times New Roman"/>
          <w:szCs w:val="24"/>
          <w:lang w:val="es-ES"/>
        </w:rPr>
      </w:pPr>
    </w:p>
    <w:p w14:paraId="0A586BE1" w14:textId="647E9390" w:rsidR="00B52791" w:rsidRPr="00E16B6D" w:rsidRDefault="009D480A" w:rsidP="00A630DC">
      <w:pPr>
        <w:pStyle w:val="Prrafodelista"/>
        <w:numPr>
          <w:ilvl w:val="1"/>
          <w:numId w:val="7"/>
        </w:numPr>
        <w:spacing w:after="0"/>
        <w:ind w:hanging="76"/>
        <w:rPr>
          <w:rFonts w:ascii="Times New Roman" w:hAnsi="Times New Roman" w:cs="Times New Roman"/>
          <w:b/>
          <w:szCs w:val="24"/>
          <w:lang w:val="es-ES"/>
        </w:rPr>
      </w:pPr>
      <w:bookmarkStart w:id="5" w:name="_Hlk96011511"/>
      <w:r w:rsidRPr="008D05DE">
        <w:rPr>
          <w:rFonts w:ascii="Times New Roman" w:hAnsi="Times New Roman" w:cs="Times New Roman"/>
          <w:b/>
          <w:bCs/>
          <w:szCs w:val="24"/>
          <w:lang w:val="es-ES"/>
        </w:rPr>
        <w:t>C</w:t>
      </w:r>
      <w:r w:rsidR="004E7BAA">
        <w:rPr>
          <w:rFonts w:ascii="Times New Roman" w:hAnsi="Times New Roman" w:cs="Times New Roman"/>
          <w:b/>
          <w:bCs/>
          <w:szCs w:val="24"/>
          <w:lang w:val="es-ES"/>
        </w:rPr>
        <w:t xml:space="preserve">iclo de </w:t>
      </w:r>
      <w:r w:rsidR="00AC1EEA">
        <w:rPr>
          <w:rFonts w:ascii="Times New Roman" w:hAnsi="Times New Roman" w:cs="Times New Roman"/>
          <w:b/>
          <w:bCs/>
          <w:szCs w:val="24"/>
          <w:lang w:val="es-ES"/>
        </w:rPr>
        <w:t>C</w:t>
      </w:r>
      <w:r w:rsidR="004E7BAA">
        <w:rPr>
          <w:rFonts w:ascii="Times New Roman" w:hAnsi="Times New Roman" w:cs="Times New Roman"/>
          <w:b/>
          <w:bCs/>
          <w:szCs w:val="24"/>
          <w:lang w:val="es-ES"/>
        </w:rPr>
        <w:t xml:space="preserve">aja de </w:t>
      </w:r>
      <w:r w:rsidR="00AC1EEA">
        <w:rPr>
          <w:rFonts w:ascii="Times New Roman" w:hAnsi="Times New Roman" w:cs="Times New Roman"/>
          <w:b/>
          <w:bCs/>
          <w:szCs w:val="24"/>
          <w:lang w:val="es-ES"/>
        </w:rPr>
        <w:t>E</w:t>
      </w:r>
      <w:r w:rsidR="004E7BAA">
        <w:rPr>
          <w:rFonts w:ascii="Times New Roman" w:hAnsi="Times New Roman" w:cs="Times New Roman"/>
          <w:b/>
          <w:bCs/>
          <w:szCs w:val="24"/>
          <w:lang w:val="es-ES"/>
        </w:rPr>
        <w:t>fectivo</w:t>
      </w:r>
    </w:p>
    <w:p w14:paraId="5677F4BC" w14:textId="77777777" w:rsidR="00E16B6D" w:rsidRDefault="00E16B6D" w:rsidP="00A630DC">
      <w:pPr>
        <w:pStyle w:val="Prrafodelista"/>
        <w:spacing w:after="0"/>
        <w:ind w:left="360"/>
        <w:rPr>
          <w:rFonts w:ascii="Times New Roman" w:hAnsi="Times New Roman" w:cs="Times New Roman"/>
          <w:b/>
          <w:bCs/>
          <w:szCs w:val="24"/>
          <w:lang w:val="es-ES"/>
        </w:rPr>
      </w:pPr>
    </w:p>
    <w:bookmarkEnd w:id="5"/>
    <w:p w14:paraId="68BD84F7" w14:textId="5B5DE01D" w:rsidR="00E16B6D" w:rsidRPr="00E16B6D" w:rsidRDefault="00E16B6D" w:rsidP="00A630DC">
      <w:pPr>
        <w:spacing w:after="0"/>
        <w:ind w:firstLine="284"/>
        <w:rPr>
          <w:rFonts w:ascii="Times New Roman" w:hAnsi="Times New Roman" w:cs="Times New Roman"/>
          <w:szCs w:val="24"/>
        </w:rPr>
      </w:pPr>
      <w:r w:rsidRPr="00E16B6D">
        <w:rPr>
          <w:rFonts w:ascii="Times New Roman" w:hAnsi="Times New Roman" w:cs="Times New Roman"/>
          <w:szCs w:val="24"/>
        </w:rPr>
        <w:t>De a</w:t>
      </w:r>
      <w:r w:rsidR="001B6407">
        <w:rPr>
          <w:rFonts w:ascii="Times New Roman" w:hAnsi="Times New Roman" w:cs="Times New Roman"/>
          <w:szCs w:val="24"/>
        </w:rPr>
        <w:t xml:space="preserve">cuerdo a </w:t>
      </w:r>
      <w:r w:rsidR="001B6407">
        <w:rPr>
          <w:rFonts w:ascii="Times New Roman" w:hAnsi="Times New Roman" w:cs="Times New Roman"/>
          <w:szCs w:val="24"/>
        </w:rPr>
        <w:fldChar w:fldCharType="begin" w:fldLock="1"/>
      </w:r>
      <w:r w:rsidR="00795C13">
        <w:rPr>
          <w:rFonts w:ascii="Times New Roman" w:hAnsi="Times New Roman" w:cs="Times New Roman"/>
          <w:szCs w:val="24"/>
        </w:rPr>
        <w:instrText>ADDIN CSL_CITATION {"citationItems":[{"id":"ITEM-1","itemData":{"ISBN":"9781604138795","abstract":"riesgo es una medida de la incertidumbre en torno al rendimiento que ganará una inversión. Las inversiones cuyos rendimientos son más inciertos se consideran generalmente más riesgosas.","author":[{"dropping-particle":"","family":"Gitman","given":"Lawrence","non-dropping-particle":"","parse-names":false,"suffix":""},{"dropping-particle":"","family":"Zutter","given":"Chad J.","non-dropping-particle":"","parse-names":false,"suffix":""}],"container-title":"Canadian Psychologist / Psychologie canadienne","id":"ITEM-1","issue":"4","issued":{"date-parts":[["2012"]]},"number-of-pages":"360-360","title":"Prinpios de administración financiera","type":"book","volume":"8a"},"uris":["http://www.mendeley.com/documents/?uuid=01f5b1b0-a938-4ca0-85e5-c8f7798fe617"]}],"mendeley":{"formattedCitation":"(Gitman &amp; Zutter, 2012)","plainTextFormattedCitation":"(Gitman &amp; Zutter, 2012)","previouslyFormattedCitation":"(Gitman &amp; Zutter, 2012)"},"properties":{"noteIndex":0},"schema":"https://github.com/citation-style-language/schema/raw/master/csl-citation.json"}</w:instrText>
      </w:r>
      <w:r w:rsidR="001B6407">
        <w:rPr>
          <w:rFonts w:ascii="Times New Roman" w:hAnsi="Times New Roman" w:cs="Times New Roman"/>
          <w:szCs w:val="24"/>
        </w:rPr>
        <w:fldChar w:fldCharType="separate"/>
      </w:r>
      <w:r w:rsidR="001B6407" w:rsidRPr="001B6407">
        <w:rPr>
          <w:rFonts w:ascii="Times New Roman" w:hAnsi="Times New Roman" w:cs="Times New Roman"/>
          <w:noProof/>
          <w:szCs w:val="24"/>
        </w:rPr>
        <w:t>Gitman &amp; Zutter</w:t>
      </w:r>
      <w:r w:rsidR="00A55E2F">
        <w:rPr>
          <w:rFonts w:ascii="Times New Roman" w:hAnsi="Times New Roman" w:cs="Times New Roman"/>
          <w:noProof/>
          <w:szCs w:val="24"/>
        </w:rPr>
        <w:t xml:space="preserve"> (</w:t>
      </w:r>
      <w:r w:rsidR="001B6407" w:rsidRPr="001B6407">
        <w:rPr>
          <w:rFonts w:ascii="Times New Roman" w:hAnsi="Times New Roman" w:cs="Times New Roman"/>
          <w:noProof/>
          <w:szCs w:val="24"/>
        </w:rPr>
        <w:t>2012)</w:t>
      </w:r>
      <w:r w:rsidR="001B6407">
        <w:rPr>
          <w:rFonts w:ascii="Times New Roman" w:hAnsi="Times New Roman" w:cs="Times New Roman"/>
          <w:szCs w:val="24"/>
        </w:rPr>
        <w:fldChar w:fldCharType="end"/>
      </w:r>
      <w:r w:rsidRPr="00E16B6D">
        <w:rPr>
          <w:rFonts w:ascii="Times New Roman" w:hAnsi="Times New Roman" w:cs="Times New Roman"/>
          <w:szCs w:val="24"/>
        </w:rPr>
        <w:t xml:space="preserve"> el CCE </w:t>
      </w:r>
      <w:r w:rsidR="000B663D" w:rsidRPr="000B663D">
        <w:rPr>
          <w:rFonts w:ascii="Times New Roman" w:hAnsi="Times New Roman" w:cs="Times New Roman"/>
          <w:szCs w:val="24"/>
        </w:rPr>
        <w:t>es la cantidad de tiempo que pasa desde el inicio del proceso de producción</w:t>
      </w:r>
      <w:r w:rsidR="00907306">
        <w:rPr>
          <w:rFonts w:ascii="Times New Roman" w:hAnsi="Times New Roman" w:cs="Times New Roman"/>
          <w:szCs w:val="24"/>
        </w:rPr>
        <w:t xml:space="preserve"> o comercialización </w:t>
      </w:r>
      <w:r w:rsidR="000B663D" w:rsidRPr="000B663D">
        <w:rPr>
          <w:rFonts w:ascii="Times New Roman" w:hAnsi="Times New Roman" w:cs="Times New Roman"/>
          <w:szCs w:val="24"/>
        </w:rPr>
        <w:t xml:space="preserve"> hasta el momento en que se paga el dinero por la venta del producto terminado. El inventario y las cuentas por cobrar son los dos tipos principales de activos a corto plazo en el ciclo operativo.</w:t>
      </w:r>
      <w:r w:rsidRPr="00E16B6D">
        <w:rPr>
          <w:rFonts w:ascii="Times New Roman" w:hAnsi="Times New Roman" w:cs="Times New Roman"/>
          <w:szCs w:val="24"/>
        </w:rPr>
        <w:t xml:space="preserve"> Por su parte </w:t>
      </w:r>
      <w:r w:rsidR="00795C13">
        <w:rPr>
          <w:rFonts w:ascii="Times New Roman" w:hAnsi="Times New Roman" w:cs="Times New Roman"/>
          <w:szCs w:val="24"/>
        </w:rPr>
        <w:fldChar w:fldCharType="begin" w:fldLock="1"/>
      </w:r>
      <w:r w:rsidR="008B6EBA">
        <w:rPr>
          <w:rFonts w:ascii="Times New Roman" w:hAnsi="Times New Roman" w:cs="Times New Roman"/>
          <w:szCs w:val="24"/>
        </w:rPr>
        <w:instrText>ADDIN CSL_CITATION {"citationItems":[{"id":"ITEM-1","itemData":{"ISSN":"0798 1015","abstract":"Se pretende con los resultados de esta investigación\nconsiderar a la Administración Financiera de Capital\ndel Trabajo un instrumento necesario en la evolución\nde las Mipymes, donde el objetivo es facilitar la aplicación de procedimientos para determinar el capital de trabajo necesario, analizando el riesgo de insolvencia. Para conformar el procedimiento se emplearon técnicas de análisis económico, administración financiera a corto plazo y de estadística descriptiva. Los resultados del trabajo permiten conocer la asignación necesaria del capital de trabajo.","author":[{"dropping-particle":"","family":"Otmara","given":"Navarro Silva","non-dropping-particle":"","parse-names":false,"suffix":""},{"dropping-particle":"","family":"Marjorie","given":"Crespo Garcia","non-dropping-particle":"","parse-names":false,"suffix":""},{"dropping-particle":"","family":"Mayra","given":"Lopez Macas","non-dropping-particle":"","parse-names":false,"suffix":""}],"container-title":"Revista Ciencia Unemi","id":"ITEM-1","issued":{"date-parts":[["2017"]]},"title":"Perspectivas de la Administración\nFinanciera del Capital de Trabajo como instrumento necesario en la evolución de las Mipymes.","type":"article-journal","volume":"10"},"uris":["http://www.mendeley.com/documents/?uuid=5a90bfbb-7571-4481-a827-90f4bff0d5ee"]}],"mendeley":{"formattedCitation":"(Otmara et al., 2017)","plainTextFormattedCitation":"(Otmara et al., 2017)","previouslyFormattedCitation":"(Otmara et al., 2017)"},"properties":{"noteIndex":0},"schema":"https://github.com/citation-style-language/schema/raw/master/csl-citation.json"}</w:instrText>
      </w:r>
      <w:r w:rsidR="00795C13">
        <w:rPr>
          <w:rFonts w:ascii="Times New Roman" w:hAnsi="Times New Roman" w:cs="Times New Roman"/>
          <w:szCs w:val="24"/>
        </w:rPr>
        <w:fldChar w:fldCharType="separate"/>
      </w:r>
      <w:r w:rsidR="00795C13" w:rsidRPr="00795C13">
        <w:rPr>
          <w:rFonts w:ascii="Times New Roman" w:hAnsi="Times New Roman" w:cs="Times New Roman"/>
          <w:noProof/>
          <w:szCs w:val="24"/>
        </w:rPr>
        <w:t xml:space="preserve">Otmara </w:t>
      </w:r>
      <w:r w:rsidR="00795C13" w:rsidRPr="0014344A">
        <w:rPr>
          <w:rFonts w:ascii="Times New Roman" w:hAnsi="Times New Roman" w:cs="Times New Roman"/>
          <w:i/>
          <w:iCs/>
          <w:noProof/>
          <w:szCs w:val="24"/>
        </w:rPr>
        <w:t>et al</w:t>
      </w:r>
      <w:r w:rsidR="00A55E2F" w:rsidRPr="0014344A">
        <w:rPr>
          <w:rFonts w:ascii="Times New Roman" w:hAnsi="Times New Roman" w:cs="Times New Roman"/>
          <w:i/>
          <w:iCs/>
          <w:noProof/>
          <w:szCs w:val="24"/>
        </w:rPr>
        <w:t>.</w:t>
      </w:r>
      <w:r w:rsidR="00A55E2F">
        <w:rPr>
          <w:rFonts w:ascii="Times New Roman" w:hAnsi="Times New Roman" w:cs="Times New Roman"/>
          <w:noProof/>
          <w:szCs w:val="24"/>
        </w:rPr>
        <w:t xml:space="preserve"> (</w:t>
      </w:r>
      <w:r w:rsidR="00795C13" w:rsidRPr="00795C13">
        <w:rPr>
          <w:rFonts w:ascii="Times New Roman" w:hAnsi="Times New Roman" w:cs="Times New Roman"/>
          <w:noProof/>
          <w:szCs w:val="24"/>
        </w:rPr>
        <w:t>2017)</w:t>
      </w:r>
      <w:r w:rsidR="00795C13">
        <w:rPr>
          <w:rFonts w:ascii="Times New Roman" w:hAnsi="Times New Roman" w:cs="Times New Roman"/>
          <w:szCs w:val="24"/>
        </w:rPr>
        <w:fldChar w:fldCharType="end"/>
      </w:r>
      <w:r w:rsidR="00795C13">
        <w:rPr>
          <w:rFonts w:ascii="Times New Roman" w:hAnsi="Times New Roman" w:cs="Times New Roman"/>
          <w:szCs w:val="24"/>
        </w:rPr>
        <w:t xml:space="preserve">, </w:t>
      </w:r>
      <w:r w:rsidRPr="00E16B6D">
        <w:rPr>
          <w:rFonts w:ascii="Times New Roman" w:hAnsi="Times New Roman" w:cs="Times New Roman"/>
          <w:szCs w:val="24"/>
        </w:rPr>
        <w:t>menciona</w:t>
      </w:r>
      <w:r w:rsidR="00795C13">
        <w:rPr>
          <w:rFonts w:ascii="Times New Roman" w:hAnsi="Times New Roman" w:cs="Times New Roman"/>
          <w:szCs w:val="24"/>
        </w:rPr>
        <w:t>n</w:t>
      </w:r>
      <w:r w:rsidRPr="00E16B6D">
        <w:rPr>
          <w:rFonts w:ascii="Times New Roman" w:hAnsi="Times New Roman" w:cs="Times New Roman"/>
          <w:szCs w:val="24"/>
        </w:rPr>
        <w:t xml:space="preserve"> que el CCE lo componen la conversión de inventario, cartera y proveedores</w:t>
      </w:r>
      <w:r w:rsidR="00D90452">
        <w:rPr>
          <w:rFonts w:ascii="Times New Roman" w:hAnsi="Times New Roman" w:cs="Times New Roman"/>
          <w:szCs w:val="24"/>
        </w:rPr>
        <w:t>; l</w:t>
      </w:r>
      <w:r w:rsidR="00D90452" w:rsidRPr="00D90452">
        <w:rPr>
          <w:rFonts w:ascii="Times New Roman" w:hAnsi="Times New Roman" w:cs="Times New Roman"/>
          <w:szCs w:val="24"/>
        </w:rPr>
        <w:t>os dos primeros muestran la duración de la congelación de los activos circulantes de la empresa.</w:t>
      </w:r>
      <w:r w:rsidRPr="00E16B6D">
        <w:rPr>
          <w:rFonts w:ascii="Times New Roman" w:hAnsi="Times New Roman" w:cs="Times New Roman"/>
          <w:szCs w:val="24"/>
        </w:rPr>
        <w:t>.</w:t>
      </w:r>
      <w:r w:rsidR="00A55E2F">
        <w:rPr>
          <w:rFonts w:ascii="Times New Roman" w:hAnsi="Times New Roman" w:cs="Times New Roman"/>
          <w:szCs w:val="24"/>
        </w:rPr>
        <w:t xml:space="preserve"> </w:t>
      </w:r>
      <w:r w:rsidRPr="00E16B6D">
        <w:rPr>
          <w:rFonts w:ascii="Times New Roman" w:hAnsi="Times New Roman" w:cs="Times New Roman"/>
          <w:szCs w:val="24"/>
        </w:rPr>
        <w:t>Para</w:t>
      </w:r>
      <w:r w:rsidR="008B6EBA">
        <w:rPr>
          <w:rFonts w:ascii="Times New Roman" w:hAnsi="Times New Roman" w:cs="Times New Roman"/>
          <w:szCs w:val="24"/>
        </w:rPr>
        <w:t xml:space="preserve"> </w:t>
      </w:r>
      <w:r w:rsidR="008B6EBA">
        <w:rPr>
          <w:rFonts w:ascii="Times New Roman" w:hAnsi="Times New Roman" w:cs="Times New Roman"/>
          <w:szCs w:val="24"/>
        </w:rPr>
        <w:fldChar w:fldCharType="begin" w:fldLock="1"/>
      </w:r>
      <w:r w:rsidR="003C05D0">
        <w:rPr>
          <w:rFonts w:ascii="Times New Roman" w:hAnsi="Times New Roman" w:cs="Times New Roman"/>
          <w:szCs w:val="24"/>
        </w:rPr>
        <w:instrText>ADDIN CSL_CITATION {"citationItems":[{"id":"ITEM-1","itemData":{"abstract":"The article discusses the modern SME finance, which needs\\r\\na dynamic and skilled manager in administrative management, the\\r\\naccounting and finance, with knowledge of the days needed to cover\\r\\nthe cash cycle and the capital required to operate in the short term,\\r\\ncalculation necessary to determine if you have enough money or if\\r\\nyou will need financing and its exact value, failure figures of SMEs in\\r\\nLatin America are overwhelming, eighty percent of them go bankrupt\\r\\nin less than five years largely due to poor management, management\\r\\nis required to even think about how to strengthen the company with\\r\\nsystems such as leasing, factoring or triangulation, in Colombia there\\r\\nis even talk of creating a capital market and an alternative stock\\r\\nmarket for SMEs.\\r\\nEl artículo aborda las finanzas en la pyme moderna, la cual\\r\\nnecesita de un gerente dinámico y hábil en la gestión administrativa,\\r\\nla información contable y las finanzas, con conocimiento de los días\\r\\nnecesarios para cubrir el ciclo de caja y el capital que se requiere\\r\\npara operar a corto plazo, calculo necesario para determinar si va a\\r\\nalcanzar el dinero o si va a necesitar financiación y su valor exacto.\\r\\nLas cifras de fracaso de las pymes en América Latina son abrumadoras,\\r\\nochenta por ciento de ellas quiebran en menos de cinco años gran\\r\\nparte debido a la mala gestión, se requiere una administración que\\r\\nincluso piense en cómo fortalecer la empresa, con sistemas como el\\r\\nLeasing, el factoring o la triangulación, en Colombia se habla incluso\\r\\nde crear un mercado de capitales y de un mercado alternativo bursátil\\r\\npara la pyme.","author":[{"dropping-particle":"","family":"Jiménez Sánchez","given":"Jorge Iván","non-dropping-particle":"","parse-names":false,"suffix":""},{"dropping-particle":"","family":"Rojas Restrepo","given":"Farley Saray","non-dropping-particle":"","parse-names":false,"suffix":""}],"container-title":"Clío América ","id":"ITEM-1","issue":"13","issued":{"date-parts":[["2013"]]},"page":"48-63","title":"The importance of cash cycle and calculation of working capital management in smes","type":"article-journal","volume":"7"},"uris":["http://www.mendeley.com/documents/?uuid=7e13e347-5723-4521-ac49-a126914e7d0b"]}],"mendeley":{"formattedCitation":"(Jiménez Sánchez &amp; Rojas Restrepo, 2013)","manualFormatting":"(Jiménez y Rojas, 2013)","plainTextFormattedCitation":"(Jiménez Sánchez &amp; Rojas Restrepo, 2013)","previouslyFormattedCitation":"(Jiménez Sánchez &amp; Rojas Restrepo, 2013)"},"properties":{"noteIndex":0},"schema":"https://github.com/citation-style-language/schema/raw/master/csl-citation.json"}</w:instrText>
      </w:r>
      <w:r w:rsidR="008B6EBA">
        <w:rPr>
          <w:rFonts w:ascii="Times New Roman" w:hAnsi="Times New Roman" w:cs="Times New Roman"/>
          <w:szCs w:val="24"/>
        </w:rPr>
        <w:fldChar w:fldCharType="separate"/>
      </w:r>
      <w:r w:rsidR="008B6EBA" w:rsidRPr="008B6EBA">
        <w:rPr>
          <w:rFonts w:ascii="Times New Roman" w:hAnsi="Times New Roman" w:cs="Times New Roman"/>
          <w:noProof/>
          <w:szCs w:val="24"/>
        </w:rPr>
        <w:t>Jiménez</w:t>
      </w:r>
      <w:r w:rsidR="00A55E2F">
        <w:rPr>
          <w:rFonts w:ascii="Times New Roman" w:hAnsi="Times New Roman" w:cs="Times New Roman"/>
          <w:noProof/>
          <w:szCs w:val="24"/>
        </w:rPr>
        <w:t xml:space="preserve"> &amp;</w:t>
      </w:r>
      <w:r w:rsidR="008B6EBA">
        <w:rPr>
          <w:rFonts w:ascii="Times New Roman" w:hAnsi="Times New Roman" w:cs="Times New Roman"/>
          <w:noProof/>
          <w:szCs w:val="24"/>
        </w:rPr>
        <w:t xml:space="preserve"> Rojas</w:t>
      </w:r>
      <w:r w:rsidR="00A55E2F">
        <w:rPr>
          <w:rFonts w:ascii="Times New Roman" w:hAnsi="Times New Roman" w:cs="Times New Roman"/>
          <w:noProof/>
          <w:szCs w:val="24"/>
        </w:rPr>
        <w:t xml:space="preserve"> (</w:t>
      </w:r>
      <w:r w:rsidR="008B6EBA" w:rsidRPr="008B6EBA">
        <w:rPr>
          <w:rFonts w:ascii="Times New Roman" w:hAnsi="Times New Roman" w:cs="Times New Roman"/>
          <w:noProof/>
          <w:szCs w:val="24"/>
        </w:rPr>
        <w:t>2013)</w:t>
      </w:r>
      <w:r w:rsidR="008B6EBA">
        <w:rPr>
          <w:rFonts w:ascii="Times New Roman" w:hAnsi="Times New Roman" w:cs="Times New Roman"/>
          <w:szCs w:val="24"/>
        </w:rPr>
        <w:fldChar w:fldCharType="end"/>
      </w:r>
      <w:r w:rsidRPr="00E16B6D">
        <w:rPr>
          <w:rFonts w:ascii="Times New Roman" w:hAnsi="Times New Roman" w:cs="Times New Roman"/>
          <w:szCs w:val="24"/>
        </w:rPr>
        <w:t xml:space="preserve"> la importancia del cálculo del CCE radica en que, permite identificar el tiempo que se demora la empresa en recuperar la inversión en el proceso operativo, antes de pedir financiamiento.</w:t>
      </w:r>
    </w:p>
    <w:p w14:paraId="0A64F0A4" w14:textId="2F6DD780" w:rsidR="00E16B6D" w:rsidRPr="00E16B6D" w:rsidRDefault="00E16B6D" w:rsidP="00A630DC">
      <w:pPr>
        <w:spacing w:after="0"/>
        <w:ind w:firstLine="284"/>
        <w:rPr>
          <w:rFonts w:ascii="Times New Roman" w:hAnsi="Times New Roman" w:cs="Times New Roman"/>
          <w:szCs w:val="24"/>
        </w:rPr>
      </w:pPr>
      <w:r w:rsidRPr="00E16B6D">
        <w:rPr>
          <w:rFonts w:ascii="Times New Roman" w:hAnsi="Times New Roman" w:cs="Times New Roman"/>
          <w:szCs w:val="24"/>
        </w:rPr>
        <w:t>Un CCE eficiente indica una gestión financiera sólida y una buena liquidez.</w:t>
      </w:r>
      <w:r w:rsidR="001C5B00">
        <w:rPr>
          <w:rFonts w:ascii="Times New Roman" w:hAnsi="Times New Roman" w:cs="Times New Roman"/>
          <w:szCs w:val="24"/>
        </w:rPr>
        <w:t xml:space="preserve"> </w:t>
      </w:r>
      <w:r w:rsidR="00A55E2F">
        <w:rPr>
          <w:rFonts w:ascii="Times New Roman" w:hAnsi="Times New Roman" w:cs="Times New Roman"/>
          <w:szCs w:val="24"/>
        </w:rPr>
        <w:t xml:space="preserve">Al respecto, </w:t>
      </w:r>
      <w:r w:rsidR="001C5B00">
        <w:rPr>
          <w:rFonts w:ascii="Times New Roman" w:hAnsi="Times New Roman" w:cs="Times New Roman"/>
          <w:szCs w:val="24"/>
        </w:rPr>
        <w:fldChar w:fldCharType="begin" w:fldLock="1"/>
      </w:r>
      <w:r w:rsidR="003F6FCB">
        <w:rPr>
          <w:rFonts w:ascii="Times New Roman" w:hAnsi="Times New Roman" w:cs="Times New Roman"/>
          <w:szCs w:val="24"/>
        </w:rPr>
        <w:instrText>ADDIN CSL_CITATION {"citationItems":[{"id":"ITEM-1","itemData":{"ISBN":"9786071507419","abstract":"This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parties.","author":[{"dropping-particle":"","family":"Ross","given":"Stephen A.","non-dropping-particle":"","parse-names":false,"suffix":""},{"dropping-particle":"","family":"Westerfield","given":"Randolph W.","non-dropping-particle":"","parse-names":false,"suffix":""},{"dropping-particle":"","family":"Jaffe","given":"Jeffrey F.","non-dropping-particle":"","parse-names":false,"suffix":""}],"id":"ITEM-1","issued":{"date-parts":[["2012"]]},"number-of-pages":"282","title":"Finanzas corporativas","type":"book"},"uris":["http://www.mendeley.com/documents/?uuid=f959dfc1-5fc1-442f-a5ae-432615b089bb"]}],"mendeley":{"formattedCitation":"(Ross et al., 2012)","plainTextFormattedCitation":"(Ross et al., 2012)","previouslyFormattedCitation":"(Ross et al., 2012)"},"properties":{"noteIndex":0},"schema":"https://github.com/citation-style-language/schema/raw/master/csl-citation.json"}</w:instrText>
      </w:r>
      <w:r w:rsidR="001C5B00">
        <w:rPr>
          <w:rFonts w:ascii="Times New Roman" w:hAnsi="Times New Roman" w:cs="Times New Roman"/>
          <w:szCs w:val="24"/>
        </w:rPr>
        <w:fldChar w:fldCharType="separate"/>
      </w:r>
      <w:r w:rsidR="001C5B00" w:rsidRPr="001C5B00">
        <w:rPr>
          <w:rFonts w:ascii="Times New Roman" w:hAnsi="Times New Roman" w:cs="Times New Roman"/>
          <w:noProof/>
          <w:szCs w:val="24"/>
        </w:rPr>
        <w:t xml:space="preserve">Ross </w:t>
      </w:r>
      <w:r w:rsidR="001C5B00" w:rsidRPr="0014344A">
        <w:rPr>
          <w:rFonts w:ascii="Times New Roman" w:hAnsi="Times New Roman" w:cs="Times New Roman"/>
          <w:i/>
          <w:iCs/>
          <w:noProof/>
          <w:szCs w:val="24"/>
        </w:rPr>
        <w:t>et al.</w:t>
      </w:r>
      <w:r w:rsidR="00A55E2F">
        <w:rPr>
          <w:rFonts w:ascii="Times New Roman" w:hAnsi="Times New Roman" w:cs="Times New Roman"/>
          <w:noProof/>
          <w:szCs w:val="24"/>
        </w:rPr>
        <w:t xml:space="preserve"> (</w:t>
      </w:r>
      <w:r w:rsidR="001C5B00" w:rsidRPr="001C5B00">
        <w:rPr>
          <w:rFonts w:ascii="Times New Roman" w:hAnsi="Times New Roman" w:cs="Times New Roman"/>
          <w:noProof/>
          <w:szCs w:val="24"/>
        </w:rPr>
        <w:t>2012)</w:t>
      </w:r>
      <w:r w:rsidR="001C5B00">
        <w:rPr>
          <w:rFonts w:ascii="Times New Roman" w:hAnsi="Times New Roman" w:cs="Times New Roman"/>
          <w:szCs w:val="24"/>
        </w:rPr>
        <w:fldChar w:fldCharType="end"/>
      </w:r>
      <w:r w:rsidRPr="00E16B6D">
        <w:rPr>
          <w:rFonts w:ascii="Times New Roman" w:hAnsi="Times New Roman" w:cs="Times New Roman"/>
          <w:szCs w:val="24"/>
        </w:rPr>
        <w:t xml:space="preserve"> señala que el CCE </w:t>
      </w:r>
      <w:r w:rsidR="008633DA">
        <w:rPr>
          <w:rFonts w:ascii="Times New Roman" w:hAnsi="Times New Roman" w:cs="Times New Roman"/>
          <w:szCs w:val="24"/>
        </w:rPr>
        <w:t xml:space="preserve">es </w:t>
      </w:r>
      <w:r w:rsidR="008633DA" w:rsidRPr="008633DA">
        <w:rPr>
          <w:rFonts w:ascii="Times New Roman" w:hAnsi="Times New Roman" w:cs="Times New Roman"/>
          <w:szCs w:val="24"/>
        </w:rPr>
        <w:t>un indicador financiero que muestra la cantidad promedio de días que tarda una empresa en convertir su inversión en efectivo a través de</w:t>
      </w:r>
      <w:r w:rsidR="008633DA">
        <w:rPr>
          <w:rFonts w:ascii="Times New Roman" w:hAnsi="Times New Roman" w:cs="Times New Roman"/>
          <w:szCs w:val="24"/>
        </w:rPr>
        <w:t xml:space="preserve"> sus</w:t>
      </w:r>
      <w:r w:rsidR="008633DA" w:rsidRPr="008633DA">
        <w:rPr>
          <w:rFonts w:ascii="Times New Roman" w:hAnsi="Times New Roman" w:cs="Times New Roman"/>
          <w:szCs w:val="24"/>
        </w:rPr>
        <w:t xml:space="preserve"> ventas y cobros.</w:t>
      </w:r>
      <w:r w:rsidR="008633DA">
        <w:rPr>
          <w:rFonts w:ascii="Times New Roman" w:hAnsi="Times New Roman" w:cs="Times New Roman"/>
          <w:szCs w:val="24"/>
        </w:rPr>
        <w:t xml:space="preserve"> </w:t>
      </w:r>
      <w:r w:rsidRPr="00E16B6D">
        <w:rPr>
          <w:rFonts w:ascii="Times New Roman" w:hAnsi="Times New Roman" w:cs="Times New Roman"/>
          <w:szCs w:val="24"/>
        </w:rPr>
        <w:t>Es una medida crítica de la eficiencia de la gestión del capital de trabajo, ya que indica cuán rápido una empresa puede reciclar su capital invertido en el proceso de producción y ventas.</w:t>
      </w:r>
      <w:r w:rsidR="00A55E2F">
        <w:rPr>
          <w:rFonts w:ascii="Times New Roman" w:hAnsi="Times New Roman" w:cs="Times New Roman"/>
          <w:szCs w:val="24"/>
        </w:rPr>
        <w:t xml:space="preserve"> </w:t>
      </w:r>
      <w:r w:rsidRPr="00E16B6D">
        <w:rPr>
          <w:rFonts w:ascii="Times New Roman" w:hAnsi="Times New Roman" w:cs="Times New Roman"/>
          <w:szCs w:val="24"/>
        </w:rPr>
        <w:t xml:space="preserve">El estudio  realizado por </w:t>
      </w:r>
      <w:r w:rsidR="003F6FCB">
        <w:rPr>
          <w:rFonts w:ascii="Times New Roman" w:hAnsi="Times New Roman" w:cs="Times New Roman"/>
          <w:szCs w:val="24"/>
        </w:rPr>
        <w:fldChar w:fldCharType="begin" w:fldLock="1"/>
      </w:r>
      <w:r w:rsidR="00E000DD">
        <w:rPr>
          <w:rFonts w:ascii="Times New Roman" w:hAnsi="Times New Roman" w:cs="Times New Roman"/>
          <w:szCs w:val="24"/>
        </w:rPr>
        <w:instrText>ADDIN CSL_CITATION {"citationItems":[{"id":"ITEM-1","itemData":{"DOI":"10.15446/innovar.v24n51.41235","ISSN":"01215051","abstract":"The aim of this study is to determine the factors that affect working capital management in Latin American companies. Using an unbalanced panel data analysis for companies quoted in five Latin American capital markets it is shown that companies in Argentina, Brazil, Chile and Mexico are holding cash excesses, which could destroy firm value. Results show that the industry cash conversion cycle, the company market power, its future sales and country risk have an influence on the way Latin American companies manage their working capital with significant differences among countries in the region.","author":[{"dropping-particle":"","family":"Mongrut","given":"Samuel","non-dropping-particle":"","parse-names":false,"suffix":""},{"dropping-particle":"","family":"O'Shee","given":"Darcy Fuenzalida","non-dropping-particle":"","parse-names":false,"suffix":""},{"dropping-particle":"","family":"Zavaleta","given":"Claudio Cubillas","non-dropping-particle":"","parse-names":false,"suffix":""},{"dropping-particle":"","family":"Zavaleta","given":"Johan Cubillas","non-dropping-particle":"","parse-names":false,"suffix":""}],"container-title":"Innovar","id":"ITEM-1","issue":"51","issued":{"date-parts":[["2014"]]},"page":"5-18","title":"Determinants of working capital management in latin american companies","type":"article-journal","volume":"24"},"uris":["http://www.mendeley.com/documents/?uuid=91c1fae2-8d7b-45df-9f8e-ab8e894b81d6"]}],"mendeley":{"formattedCitation":"(Mongrut et al., 2014)","plainTextFormattedCitation":"(Mongrut et al., 2014)","previouslyFormattedCitation":"(Mongrut et al., 2014)"},"properties":{"noteIndex":0},"schema":"https://github.com/citation-style-language/schema/raw/master/csl-citation.json"}</w:instrText>
      </w:r>
      <w:r w:rsidR="003F6FCB">
        <w:rPr>
          <w:rFonts w:ascii="Times New Roman" w:hAnsi="Times New Roman" w:cs="Times New Roman"/>
          <w:szCs w:val="24"/>
        </w:rPr>
        <w:fldChar w:fldCharType="separate"/>
      </w:r>
      <w:r w:rsidR="003F6FCB" w:rsidRPr="003F6FCB">
        <w:rPr>
          <w:rFonts w:ascii="Times New Roman" w:hAnsi="Times New Roman" w:cs="Times New Roman"/>
          <w:noProof/>
          <w:szCs w:val="24"/>
        </w:rPr>
        <w:t xml:space="preserve">Mongrut </w:t>
      </w:r>
      <w:r w:rsidR="003F6FCB" w:rsidRPr="0014344A">
        <w:rPr>
          <w:rFonts w:ascii="Times New Roman" w:hAnsi="Times New Roman" w:cs="Times New Roman"/>
          <w:i/>
          <w:iCs/>
          <w:noProof/>
          <w:szCs w:val="24"/>
        </w:rPr>
        <w:t>et al.</w:t>
      </w:r>
      <w:r w:rsidR="00A55E2F">
        <w:rPr>
          <w:rFonts w:ascii="Times New Roman" w:hAnsi="Times New Roman" w:cs="Times New Roman"/>
          <w:noProof/>
          <w:szCs w:val="24"/>
        </w:rPr>
        <w:t xml:space="preserve"> (</w:t>
      </w:r>
      <w:r w:rsidR="003F6FCB" w:rsidRPr="003F6FCB">
        <w:rPr>
          <w:rFonts w:ascii="Times New Roman" w:hAnsi="Times New Roman" w:cs="Times New Roman"/>
          <w:noProof/>
          <w:szCs w:val="24"/>
        </w:rPr>
        <w:t>2014)</w:t>
      </w:r>
      <w:r w:rsidR="003F6FCB">
        <w:rPr>
          <w:rFonts w:ascii="Times New Roman" w:hAnsi="Times New Roman" w:cs="Times New Roman"/>
          <w:szCs w:val="24"/>
        </w:rPr>
        <w:fldChar w:fldCharType="end"/>
      </w:r>
      <w:r w:rsidR="003F6FCB">
        <w:rPr>
          <w:rFonts w:ascii="Times New Roman" w:hAnsi="Times New Roman" w:cs="Times New Roman"/>
          <w:szCs w:val="24"/>
        </w:rPr>
        <w:t xml:space="preserve"> </w:t>
      </w:r>
      <w:r w:rsidRPr="00E16B6D">
        <w:rPr>
          <w:rFonts w:ascii="Times New Roman" w:hAnsi="Times New Roman" w:cs="Times New Roman"/>
          <w:szCs w:val="24"/>
        </w:rPr>
        <w:t xml:space="preserve">en empresas Latinoamericanas, evidenció una sobreinversión en capital de trabajo, exceptuando a Perú. Además, </w:t>
      </w:r>
      <w:r w:rsidR="00A55E2F">
        <w:rPr>
          <w:rFonts w:ascii="Times New Roman" w:hAnsi="Times New Roman" w:cs="Times New Roman"/>
          <w:szCs w:val="24"/>
        </w:rPr>
        <w:fldChar w:fldCharType="begin" w:fldLock="1"/>
      </w:r>
      <w:r w:rsidR="00A55E2F">
        <w:rPr>
          <w:rFonts w:ascii="Times New Roman" w:hAnsi="Times New Roman" w:cs="Times New Roman"/>
          <w:szCs w:val="24"/>
        </w:rPr>
        <w:instrText>ADDIN CSL_CITATION {"citationItems":[{"id":"ITEM-1","itemData":{"DOI":"10.15446/innovar.v24n51.41235","ISSN":"01215051","abstract":"The aim of this study is to determine the factors that affect working capital management in Latin American companies. Using an unbalanced panel data analysis for companies quoted in five Latin American capital markets it is shown that companies in Argentina, Brazil, Chile and Mexico are holding cash excesses, which could destroy firm value. Results show that the industry cash conversion cycle, the company market power, its future sales and country risk have an influence on the way Latin American companies manage their working capital with significant differences among countries in the region.","author":[{"dropping-particle":"","family":"Mongrut","given":"Samuel","non-dropping-particle":"","parse-names":false,"suffix":""},{"dropping-particle":"","family":"O'Shee","given":"Darcy Fuenzalida","non-dropping-particle":"","parse-names":false,"suffix":""},{"dropping-particle":"","family":"Zavaleta","given":"Claudio Cubillas","non-dropping-particle":"","parse-names":false,"suffix":""},{"dropping-particle":"","family":"Zavaleta","given":"Johan Cubillas","non-dropping-particle":"","parse-names":false,"suffix":""}],"container-title":"Innovar","id":"ITEM-1","issue":"51","issued":{"date-parts":[["2014"]]},"page":"5-18","title":"Determinants of working capital management in latin american companies","type":"article-journal","volume":"24"},"uris":["http://www.mendeley.com/documents/?uuid=91c1fae2-8d7b-45df-9f8e-ab8e894b81d6"]}],"mendeley":{"formattedCitation":"(Mongrut et al., 2014)","plainTextFormattedCitation":"(Mongrut et al., 2014)","previouslyFormattedCitation":"(Mongrut et al., 2014)"},"properties":{"noteIndex":0},"schema":"https://github.com/citation-style-language/schema/raw/master/csl-citation.json"}</w:instrText>
      </w:r>
      <w:r w:rsidR="00A55E2F">
        <w:rPr>
          <w:rFonts w:ascii="Times New Roman" w:hAnsi="Times New Roman" w:cs="Times New Roman"/>
          <w:szCs w:val="24"/>
        </w:rPr>
        <w:fldChar w:fldCharType="separate"/>
      </w:r>
      <w:r w:rsidR="00A55E2F" w:rsidRPr="003F6FCB">
        <w:rPr>
          <w:rFonts w:ascii="Times New Roman" w:hAnsi="Times New Roman" w:cs="Times New Roman"/>
          <w:noProof/>
          <w:szCs w:val="24"/>
        </w:rPr>
        <w:t xml:space="preserve">Mongrut </w:t>
      </w:r>
      <w:r w:rsidR="00A55E2F" w:rsidRPr="002F66B2">
        <w:rPr>
          <w:rFonts w:ascii="Times New Roman" w:hAnsi="Times New Roman" w:cs="Times New Roman"/>
          <w:i/>
          <w:iCs/>
          <w:noProof/>
          <w:szCs w:val="24"/>
        </w:rPr>
        <w:t>et al.</w:t>
      </w:r>
      <w:r w:rsidR="00A55E2F">
        <w:rPr>
          <w:rFonts w:ascii="Times New Roman" w:hAnsi="Times New Roman" w:cs="Times New Roman"/>
          <w:noProof/>
          <w:szCs w:val="24"/>
        </w:rPr>
        <w:t xml:space="preserve"> (</w:t>
      </w:r>
      <w:r w:rsidR="00A55E2F" w:rsidRPr="003F6FCB">
        <w:rPr>
          <w:rFonts w:ascii="Times New Roman" w:hAnsi="Times New Roman" w:cs="Times New Roman"/>
          <w:noProof/>
          <w:szCs w:val="24"/>
        </w:rPr>
        <w:t>2014)</w:t>
      </w:r>
      <w:r w:rsidR="00A55E2F">
        <w:rPr>
          <w:rFonts w:ascii="Times New Roman" w:hAnsi="Times New Roman" w:cs="Times New Roman"/>
          <w:szCs w:val="24"/>
        </w:rPr>
        <w:fldChar w:fldCharType="end"/>
      </w:r>
      <w:r w:rsidRPr="00E16B6D">
        <w:rPr>
          <w:rFonts w:ascii="Times New Roman" w:hAnsi="Times New Roman" w:cs="Times New Roman"/>
          <w:szCs w:val="24"/>
        </w:rPr>
        <w:t>identificó una relación inversa del CCE, con el tamaño de la empresa</w:t>
      </w:r>
      <w:r w:rsidR="00A55E2F">
        <w:rPr>
          <w:rFonts w:ascii="Times New Roman" w:hAnsi="Times New Roman" w:cs="Times New Roman"/>
          <w:szCs w:val="24"/>
        </w:rPr>
        <w:t xml:space="preserve">; lo que </w:t>
      </w:r>
      <w:r w:rsidRPr="00E16B6D">
        <w:rPr>
          <w:rFonts w:ascii="Times New Roman" w:hAnsi="Times New Roman" w:cs="Times New Roman"/>
          <w:szCs w:val="24"/>
        </w:rPr>
        <w:t>ratifica la importancia de monitorear el CCE como herramienta para mantener la liquidez y la supervivencia de las organizaciones.</w:t>
      </w:r>
    </w:p>
    <w:p w14:paraId="3DED6D42" w14:textId="33985FC3" w:rsidR="00E16B6D" w:rsidRPr="00E16B6D" w:rsidRDefault="00E16B6D" w:rsidP="00A630DC">
      <w:pPr>
        <w:spacing w:after="0"/>
        <w:ind w:firstLine="284"/>
        <w:rPr>
          <w:rFonts w:ascii="Times New Roman" w:hAnsi="Times New Roman" w:cs="Times New Roman"/>
          <w:szCs w:val="24"/>
        </w:rPr>
      </w:pPr>
      <w:r w:rsidRPr="00E16B6D">
        <w:rPr>
          <w:rFonts w:ascii="Times New Roman" w:hAnsi="Times New Roman" w:cs="Times New Roman"/>
          <w:szCs w:val="24"/>
        </w:rPr>
        <w:t xml:space="preserve">Según </w:t>
      </w:r>
      <w:r w:rsidR="00E000DD">
        <w:rPr>
          <w:rFonts w:ascii="Times New Roman" w:hAnsi="Times New Roman" w:cs="Times New Roman"/>
          <w:szCs w:val="24"/>
        </w:rPr>
        <w:fldChar w:fldCharType="begin" w:fldLock="1"/>
      </w:r>
      <w:r w:rsidR="00945211">
        <w:rPr>
          <w:rFonts w:ascii="Times New Roman" w:hAnsi="Times New Roman" w:cs="Times New Roman"/>
          <w:szCs w:val="24"/>
        </w:rPr>
        <w:instrText>ADDIN CSL_CITATION {"citationItems":[{"id":"ITEM-1","itemData":{"abstract":"En el presente trabajo se abordan las principales variables a tener en cuenta para la administración eficiente del efectivo, así como las técnicas y estrategias más importantes para alcanzar la mayor eficiencia en esta actividad. Además, se mencionan los cuatro principios básicos para la administración de efectivo. Los dos primeros principios se refieren a las entradas de dinero y los otros dos a las erogaciones de dinero, con ejemplos y ejercicios de cómo administrar con eficiencia el efectivo a través del ciclo de efectivo, rotación del efectivo, saldo de efectivo mínimo y costo de mantener el efectivo mínimo de las empresas que venden a ritmo constante en México a fin de lograr una rentabilidad a través de la inversión en estas partidas a corto plazo conocidos como activos circulantes","author":[{"dropping-particle":"","family":"Ceballos","given":"Sebastián","non-dropping-particle":"","parse-names":false,"suffix":""}],"container-title":"Observatorio De La Economia Latinoamericana","id":"ITEM-1","issue":"210","issued":{"date-parts":[["2015"]]},"page":"1-19","title":"La importancia de las estrategias para la administración eficiente del efectivo","type":"article-journal"},"uris":["http://www.mendeley.com/documents/?uuid=3926ddc2-04ef-46e2-8860-743381d0a130"]}],"mendeley":{"formattedCitation":"(Ceballos, 2015)","plainTextFormattedCitation":"(Ceballos, 2015)","previouslyFormattedCitation":"(Ceballos, 2015)"},"properties":{"noteIndex":0},"schema":"https://github.com/citation-style-language/schema/raw/master/csl-citation.json"}</w:instrText>
      </w:r>
      <w:r w:rsidR="00E000DD">
        <w:rPr>
          <w:rFonts w:ascii="Times New Roman" w:hAnsi="Times New Roman" w:cs="Times New Roman"/>
          <w:szCs w:val="24"/>
        </w:rPr>
        <w:fldChar w:fldCharType="separate"/>
      </w:r>
      <w:r w:rsidR="00E000DD" w:rsidRPr="00E000DD">
        <w:rPr>
          <w:rFonts w:ascii="Times New Roman" w:hAnsi="Times New Roman" w:cs="Times New Roman"/>
          <w:noProof/>
          <w:szCs w:val="24"/>
        </w:rPr>
        <w:t>Ceballos</w:t>
      </w:r>
      <w:r w:rsidR="007A27CA">
        <w:rPr>
          <w:rFonts w:ascii="Times New Roman" w:hAnsi="Times New Roman" w:cs="Times New Roman"/>
          <w:noProof/>
          <w:szCs w:val="24"/>
        </w:rPr>
        <w:t xml:space="preserve"> (</w:t>
      </w:r>
      <w:r w:rsidR="00E000DD" w:rsidRPr="00E000DD">
        <w:rPr>
          <w:rFonts w:ascii="Times New Roman" w:hAnsi="Times New Roman" w:cs="Times New Roman"/>
          <w:noProof/>
          <w:szCs w:val="24"/>
        </w:rPr>
        <w:t>2015)</w:t>
      </w:r>
      <w:r w:rsidR="00E000DD">
        <w:rPr>
          <w:rFonts w:ascii="Times New Roman" w:hAnsi="Times New Roman" w:cs="Times New Roman"/>
          <w:szCs w:val="24"/>
        </w:rPr>
        <w:fldChar w:fldCharType="end"/>
      </w:r>
      <w:r w:rsidR="006F662F">
        <w:rPr>
          <w:rFonts w:ascii="Times New Roman" w:hAnsi="Times New Roman" w:cs="Times New Roman"/>
          <w:szCs w:val="24"/>
        </w:rPr>
        <w:t xml:space="preserve"> c</w:t>
      </w:r>
      <w:r w:rsidR="006F662F" w:rsidRPr="006F662F">
        <w:rPr>
          <w:rFonts w:ascii="Times New Roman" w:hAnsi="Times New Roman" w:cs="Times New Roman"/>
          <w:szCs w:val="24"/>
        </w:rPr>
        <w:t>omprender el ciclo de conversión del efectivo es esencial en la gestión financiera a corto plazo</w:t>
      </w:r>
      <w:r w:rsidR="00856997">
        <w:rPr>
          <w:rFonts w:ascii="Times New Roman" w:hAnsi="Times New Roman" w:cs="Times New Roman"/>
          <w:szCs w:val="24"/>
        </w:rPr>
        <w:t>,</w:t>
      </w:r>
      <w:r w:rsidR="006F662F" w:rsidRPr="006F662F">
        <w:rPr>
          <w:rFonts w:ascii="Times New Roman" w:hAnsi="Times New Roman" w:cs="Times New Roman"/>
          <w:szCs w:val="24"/>
        </w:rPr>
        <w:t xml:space="preserve"> para controlar la liquidez y medir el tiempo que requiere una empresa </w:t>
      </w:r>
      <w:r w:rsidR="00856997">
        <w:rPr>
          <w:rFonts w:ascii="Times New Roman" w:hAnsi="Times New Roman" w:cs="Times New Roman"/>
          <w:szCs w:val="24"/>
        </w:rPr>
        <w:t xml:space="preserve">en </w:t>
      </w:r>
      <w:r w:rsidR="006F662F" w:rsidRPr="006F662F">
        <w:rPr>
          <w:rFonts w:ascii="Times New Roman" w:hAnsi="Times New Roman" w:cs="Times New Roman"/>
          <w:szCs w:val="24"/>
        </w:rPr>
        <w:t xml:space="preserve">convertir la </w:t>
      </w:r>
      <w:r w:rsidR="00856997">
        <w:rPr>
          <w:rFonts w:ascii="Times New Roman" w:hAnsi="Times New Roman" w:cs="Times New Roman"/>
          <w:szCs w:val="24"/>
        </w:rPr>
        <w:t xml:space="preserve">inversión en efectivo necesario </w:t>
      </w:r>
      <w:r w:rsidR="006F662F" w:rsidRPr="006F662F">
        <w:rPr>
          <w:rFonts w:ascii="Times New Roman" w:hAnsi="Times New Roman" w:cs="Times New Roman"/>
          <w:szCs w:val="24"/>
        </w:rPr>
        <w:t xml:space="preserve">para sus operaciones. </w:t>
      </w:r>
      <w:r w:rsidRPr="00E16B6D">
        <w:rPr>
          <w:rFonts w:ascii="Times New Roman" w:hAnsi="Times New Roman" w:cs="Times New Roman"/>
          <w:szCs w:val="24"/>
        </w:rPr>
        <w:t xml:space="preserve">Este ciclo ayuda en el análisis de la gestión de los activos corrientes y del ciclo de conversión del efectivo. De igual manera, un estudio realizado por </w:t>
      </w:r>
      <w:r w:rsidR="00945211">
        <w:rPr>
          <w:rFonts w:ascii="Times New Roman" w:hAnsi="Times New Roman" w:cs="Times New Roman"/>
          <w:szCs w:val="24"/>
        </w:rPr>
        <w:fldChar w:fldCharType="begin" w:fldLock="1"/>
      </w:r>
      <w:r w:rsidR="004D03F1">
        <w:rPr>
          <w:rFonts w:ascii="Times New Roman" w:hAnsi="Times New Roman" w:cs="Times New Roman"/>
          <w:szCs w:val="24"/>
        </w:rPr>
        <w:instrText>ADDIN CSL_CITATION {"citationItems":[{"id":"ITEM-1","itemData":{"abstract":"El presente trabajo de aplicación se enmarca en la Maestría en Dirección de Negocios, dictada por la Escuela de Graduados de la Facultad de Ciencias Económicas de la Universidad Nacional de Córdoba. Tal y como se entrevé en el título del trabajo (a saber: \"Aplicación de herramientas para la mejora en la toma de decisiones y gestión financiera del capital de trabajo en una empresa constructora de la ciudad de Córdoba\"), la propuesta de trabajo se liga al aporte de herramientas que puedan mejorar la gestión financiera del capital de trabajo de una PyMe familiar de la ciudad de Córdoba, cuya rama de actividad es la construcción (en especial electromecánica e iniciándose en el rubro inmobiliario). Esta propuesta requiere un recorte de análisis, por lo cual se tomó la principal problemática de la empresa, relacionada a la falta de herramientas que posee para hacer frente a situaciones de desequilibrios financieros, tales como: “baches financieros”, períodos de baja actividad por la inexistencia de obras en ejecución, entre otros. Además, puede observarse que frente a estas situaciones, la única opción al momento de financiarse era recurrir al “descubierto bancario”, dejando de lado cualquier otra posibilidad de hacerse de fondos. En este marco, y aprovechando la oportunidad que representa el proceso de crecimiento que la empresa atraviesa, es relevante el aporte de conceptos de la administración del capital de trabajo, que puedan ayudar en la toma de decisiones financieras en el corto plazo y agregar valor al desempeño de la misma.","author":[{"dropping-particle":"","family":"Lascano","given":"Marcos D.","non-dropping-particle":"","parse-names":false,"suffix":""}],"id":"ITEM-1","issued":{"date-parts":[["2015"]]},"title":"Aplicación de herramientas para la mejora en la toma de decisiones y gestión financiera del capital de trabajo en una empresa constructora de la ciudad de","type":"article-journal"},"uris":["http://www.mendeley.com/documents/?uuid=62807812-e242-4a88-ae0c-44378655e3b4"]}],"mendeley":{"formattedCitation":"(Lascano, 2015)","plainTextFormattedCitation":"(Lascano, 2015)","previouslyFormattedCitation":"(Lascano, 2015)"},"properties":{"noteIndex":0},"schema":"https://github.com/citation-style-language/schema/raw/master/csl-citation.json"}</w:instrText>
      </w:r>
      <w:r w:rsidR="00945211">
        <w:rPr>
          <w:rFonts w:ascii="Times New Roman" w:hAnsi="Times New Roman" w:cs="Times New Roman"/>
          <w:szCs w:val="24"/>
        </w:rPr>
        <w:fldChar w:fldCharType="separate"/>
      </w:r>
      <w:r w:rsidR="00945211" w:rsidRPr="00945211">
        <w:rPr>
          <w:rFonts w:ascii="Times New Roman" w:hAnsi="Times New Roman" w:cs="Times New Roman"/>
          <w:noProof/>
          <w:szCs w:val="24"/>
        </w:rPr>
        <w:t>Lascano</w:t>
      </w:r>
      <w:r w:rsidR="007A27CA">
        <w:rPr>
          <w:rFonts w:ascii="Times New Roman" w:hAnsi="Times New Roman" w:cs="Times New Roman"/>
          <w:noProof/>
          <w:szCs w:val="24"/>
        </w:rPr>
        <w:t xml:space="preserve"> (</w:t>
      </w:r>
      <w:r w:rsidR="00945211" w:rsidRPr="00945211">
        <w:rPr>
          <w:rFonts w:ascii="Times New Roman" w:hAnsi="Times New Roman" w:cs="Times New Roman"/>
          <w:noProof/>
          <w:szCs w:val="24"/>
        </w:rPr>
        <w:t>2015)</w:t>
      </w:r>
      <w:r w:rsidR="00945211">
        <w:rPr>
          <w:rFonts w:ascii="Times New Roman" w:hAnsi="Times New Roman" w:cs="Times New Roman"/>
          <w:szCs w:val="24"/>
        </w:rPr>
        <w:fldChar w:fldCharType="end"/>
      </w:r>
      <w:r w:rsidR="00945211">
        <w:rPr>
          <w:rFonts w:ascii="Times New Roman" w:hAnsi="Times New Roman" w:cs="Times New Roman"/>
          <w:szCs w:val="24"/>
        </w:rPr>
        <w:t xml:space="preserve"> </w:t>
      </w:r>
      <w:r w:rsidRPr="00E16B6D">
        <w:rPr>
          <w:rFonts w:ascii="Times New Roman" w:hAnsi="Times New Roman" w:cs="Times New Roman"/>
          <w:szCs w:val="24"/>
        </w:rPr>
        <w:t>sugiere que es el tiempo que tarda en recuperar una unidad monetaria que se invirtió en el ciclo operativo de la empresa; o el tiempo que tarda en pagar efectivamente a los proveedores hasta que se recibe el cobro de los clientes.</w:t>
      </w:r>
    </w:p>
    <w:p w14:paraId="77023858" w14:textId="24681107" w:rsidR="000E2CB9" w:rsidRDefault="00E16B6D" w:rsidP="00A630DC">
      <w:pPr>
        <w:spacing w:after="0"/>
        <w:ind w:firstLine="284"/>
        <w:rPr>
          <w:rFonts w:ascii="Times New Roman" w:hAnsi="Times New Roman" w:cs="Times New Roman"/>
          <w:szCs w:val="24"/>
        </w:rPr>
      </w:pPr>
      <w:r w:rsidRPr="00E16B6D">
        <w:rPr>
          <w:rFonts w:ascii="Times New Roman" w:hAnsi="Times New Roman" w:cs="Times New Roman"/>
          <w:szCs w:val="24"/>
        </w:rPr>
        <w:t>Para administrar el CCE de manera efectiva, es necesario prestar atención a las inversiones en efectivo, cuentas por cobrar e inventario, ya que son estas cuentas las que permiten establecer un nivel eficiente de liquidez, mediante políticas adecuadas a las necesidades de la empresa. En cuanto a los pasivos, es importante tener cuentas por pagar bie</w:t>
      </w:r>
      <w:r w:rsidR="004D03F1">
        <w:rPr>
          <w:rFonts w:ascii="Times New Roman" w:hAnsi="Times New Roman" w:cs="Times New Roman"/>
          <w:szCs w:val="24"/>
        </w:rPr>
        <w:t>n ajustadas con los proveedores,</w:t>
      </w:r>
      <w:r w:rsidRPr="00E16B6D">
        <w:rPr>
          <w:rFonts w:ascii="Times New Roman" w:hAnsi="Times New Roman" w:cs="Times New Roman"/>
          <w:szCs w:val="24"/>
        </w:rPr>
        <w:t xml:space="preserve"> </w:t>
      </w:r>
      <w:r w:rsidR="004D03F1">
        <w:rPr>
          <w:rFonts w:ascii="Times New Roman" w:hAnsi="Times New Roman" w:cs="Times New Roman"/>
          <w:szCs w:val="24"/>
        </w:rPr>
        <w:fldChar w:fldCharType="begin" w:fldLock="1"/>
      </w:r>
      <w:r w:rsidR="00CE2041">
        <w:rPr>
          <w:rFonts w:ascii="Times New Roman" w:hAnsi="Times New Roman" w:cs="Times New Roman"/>
          <w:szCs w:val="24"/>
        </w:rPr>
        <w:instrText>ADDIN CSL_CITATION {"citationItems":[{"id":"ITEM-1","itemData":{"ISSN":"2218-3620","abstract":"The research is aimed to design a tourist route, based on regional history of El Oro province, around Mussa sapienza sp., Cavendish variety (bananas), where this fruit one of the main export products of the country and the main export item du- ring the period 1945 - 1960, known as the banana boom in Ecuador and the province of El Oro is one of the most important agricultural referents for the development of bananas. A documentary research has been done, from the perspective of the historical memory located in different literature sources and empirical method of interviews with banana stakeholders. It has been complemented by the respective geo-referential survey with Global Positioning System of sites, taking an image of Google Earth for plotting the route and considering the main elements for its design. The project is under the biocentric paradigm, of ethic approach, of responsibilities and values, where man still is dependent or interdependent of the environment where he lives in a sustainable manner. Keywords: Banana, tourist route, regional history.","author":[{"dropping-particle":"","family":"Palomeque.","given":"Jean","non-dropping-particle":"","parse-names":false,"suffix":""},{"dropping-particle":"","family":"Lalangui.","given":"Jessica","non-dropping-particle":"","parse-names":false,"suffix":""}],"container-title":"Revista Científica Universidad y Sociedad","id":"ITEM-1","issued":{"date-parts":[["2016"]]},"page":"150","title":"LA GESTIÓN EFECTIVA DEL CAPITAL DE TRABAJO EN LAS EMPRESAS","type":"article-journal","volume":"8"},"uris":["http://www.mendeley.com/documents/?uuid=ca5bda06-42aa-4914-a8c0-79e808e11083"]}],"mendeley":{"formattedCitation":"(Palomeque. &amp; Lalangui., 2016)","manualFormatting":"(Palomeque y Lalangui., 2016)","plainTextFormattedCitation":"(Palomeque. &amp; Lalangui., 2016)","previouslyFormattedCitation":"(Palomeque. &amp; Lalangui., 2016)"},"properties":{"noteIndex":0},"schema":"https://github.com/citation-style-language/schema/raw/master/csl-citation.json"}</w:instrText>
      </w:r>
      <w:r w:rsidR="004D03F1">
        <w:rPr>
          <w:rFonts w:ascii="Times New Roman" w:hAnsi="Times New Roman" w:cs="Times New Roman"/>
          <w:szCs w:val="24"/>
        </w:rPr>
        <w:fldChar w:fldCharType="separate"/>
      </w:r>
      <w:r w:rsidR="004D03F1">
        <w:rPr>
          <w:rFonts w:ascii="Times New Roman" w:hAnsi="Times New Roman" w:cs="Times New Roman"/>
          <w:noProof/>
          <w:szCs w:val="24"/>
        </w:rPr>
        <w:t xml:space="preserve">(Palomeque </w:t>
      </w:r>
      <w:r w:rsidR="007A27CA">
        <w:rPr>
          <w:rFonts w:ascii="Times New Roman" w:hAnsi="Times New Roman" w:cs="Times New Roman"/>
          <w:noProof/>
          <w:szCs w:val="24"/>
        </w:rPr>
        <w:t>&amp;</w:t>
      </w:r>
      <w:r w:rsidR="004D03F1" w:rsidRPr="004D03F1">
        <w:rPr>
          <w:rFonts w:ascii="Times New Roman" w:hAnsi="Times New Roman" w:cs="Times New Roman"/>
          <w:noProof/>
          <w:szCs w:val="24"/>
        </w:rPr>
        <w:t xml:space="preserve"> Lalangui., 2016)</w:t>
      </w:r>
      <w:r w:rsidR="004D03F1">
        <w:rPr>
          <w:rFonts w:ascii="Times New Roman" w:hAnsi="Times New Roman" w:cs="Times New Roman"/>
          <w:szCs w:val="24"/>
        </w:rPr>
        <w:fldChar w:fldCharType="end"/>
      </w:r>
      <w:r w:rsidR="004D03F1">
        <w:rPr>
          <w:rFonts w:ascii="Times New Roman" w:hAnsi="Times New Roman" w:cs="Times New Roman"/>
          <w:szCs w:val="24"/>
        </w:rPr>
        <w:t>.</w:t>
      </w:r>
      <w:r w:rsidR="007A27CA">
        <w:rPr>
          <w:rFonts w:ascii="Times New Roman" w:hAnsi="Times New Roman" w:cs="Times New Roman"/>
          <w:szCs w:val="24"/>
        </w:rPr>
        <w:t xml:space="preserve"> </w:t>
      </w:r>
      <w:r w:rsidR="004054BE">
        <w:rPr>
          <w:rFonts w:ascii="Times New Roman" w:hAnsi="Times New Roman" w:cs="Times New Roman"/>
          <w:szCs w:val="24"/>
        </w:rPr>
        <w:fldChar w:fldCharType="begin" w:fldLock="1"/>
      </w:r>
      <w:r w:rsidR="00F8720D">
        <w:rPr>
          <w:rFonts w:ascii="Times New Roman" w:hAnsi="Times New Roman" w:cs="Times New Roman"/>
          <w:szCs w:val="24"/>
        </w:rPr>
        <w:instrText>ADDIN CSL_CITATION {"citationItems":[{"id":"ITEM-1","itemData":{"DOI":"10.4172/2167-0234.1000292","abstract":"Management of short-term assets and liabilities play vital role in generating profit in business sector. In the light of that, textile sector from all over the world is also emphasizing on to maintain optimal working capital to generate more profit. Researchers and practitioners around the world have done lot of work on how to maintain working capital in optimal level. Similarly, in Bangladesh, textile sector has concentrated to ensure efficient working capital management. But inadequate research work has been done on working capital management in textile companies of Bangladesh. On this background, the objective of this study is to examine the impact of different components of working capital management on profitability of the Bangladeshi textile companies. To examine that authors have used 8 (eight) years data from the time period of 2007-2014 of 22 textile companies listed in Dhaka Stock Exchange (DSE) and logistic regression has used to analyze the data. The findings of the study showed that, there is statistically significant relationship between working capital management and profitability of the Bangladeshi textile companies. More specifically, this study revealed that Current ratio and Current liabilities to total asset has most significant impact on profitability of textile companies in Bangladesh. Keywords:","author":[{"dropping-particle":"","family":"SU","given":"Ahmed","non-dropping-particle":"","parse-names":false,"suffix":""},{"dropping-particle":"","family":"N","given":"Mahtab","non-dropping-particle":"","parse-names":false,"suffix":""},{"dropping-particle":"","family":"Islam","given":"Nazmul","non-dropping-particle":"","parse-names":false,"suffix":""},{"dropping-particle":"","family":"M","given":"Abdullah","non-dropping-particle":"","parse-names":false,"suffix":""}],"container-title":"Journal of Business &amp; Financial Affairs","id":"ITEM-1","issue":"04","issued":{"date-parts":[["2017"]]},"title":"Impact of Working Capital Management on Profitability: A Study on Textile Companies of Bangladesh","type":"article-journal","volume":"06"},"uris":["http://www.mendeley.com/documents/?uuid=8c3a1113-c702-4b62-acda-891557be70f6"]}],"mendeley":{"formattedCitation":"(SU et al., 2017)","plainTextFormattedCitation":"(SU et al., 2017)","previouslyFormattedCitation":"(SU et al., 2017)"},"properties":{"noteIndex":0},"schema":"https://github.com/citation-style-language/schema/raw/master/csl-citation.json"}</w:instrText>
      </w:r>
      <w:r w:rsidR="004054BE">
        <w:rPr>
          <w:rFonts w:ascii="Times New Roman" w:hAnsi="Times New Roman" w:cs="Times New Roman"/>
          <w:szCs w:val="24"/>
        </w:rPr>
        <w:fldChar w:fldCharType="separate"/>
      </w:r>
      <w:r w:rsidR="004054BE" w:rsidRPr="004054BE">
        <w:rPr>
          <w:rFonts w:ascii="Times New Roman" w:hAnsi="Times New Roman" w:cs="Times New Roman"/>
          <w:noProof/>
          <w:szCs w:val="24"/>
        </w:rPr>
        <w:t>S</w:t>
      </w:r>
      <w:r w:rsidR="007A27CA">
        <w:rPr>
          <w:rFonts w:ascii="Times New Roman" w:hAnsi="Times New Roman" w:cs="Times New Roman"/>
          <w:noProof/>
          <w:szCs w:val="24"/>
        </w:rPr>
        <w:t>u</w:t>
      </w:r>
      <w:r w:rsidR="004054BE" w:rsidRPr="004054BE">
        <w:rPr>
          <w:rFonts w:ascii="Times New Roman" w:hAnsi="Times New Roman" w:cs="Times New Roman"/>
          <w:noProof/>
          <w:szCs w:val="24"/>
        </w:rPr>
        <w:t xml:space="preserve"> </w:t>
      </w:r>
      <w:r w:rsidR="004054BE" w:rsidRPr="0014344A">
        <w:rPr>
          <w:rFonts w:ascii="Times New Roman" w:hAnsi="Times New Roman" w:cs="Times New Roman"/>
          <w:i/>
          <w:iCs/>
          <w:noProof/>
          <w:szCs w:val="24"/>
        </w:rPr>
        <w:t>et al.</w:t>
      </w:r>
      <w:r w:rsidR="007A27CA">
        <w:rPr>
          <w:rFonts w:ascii="Times New Roman" w:hAnsi="Times New Roman" w:cs="Times New Roman"/>
          <w:noProof/>
          <w:szCs w:val="24"/>
        </w:rPr>
        <w:t xml:space="preserve"> (</w:t>
      </w:r>
      <w:r w:rsidR="004054BE" w:rsidRPr="004054BE">
        <w:rPr>
          <w:rFonts w:ascii="Times New Roman" w:hAnsi="Times New Roman" w:cs="Times New Roman"/>
          <w:noProof/>
          <w:szCs w:val="24"/>
        </w:rPr>
        <w:t>2017)</w:t>
      </w:r>
      <w:r w:rsidR="004054BE">
        <w:rPr>
          <w:rFonts w:ascii="Times New Roman" w:hAnsi="Times New Roman" w:cs="Times New Roman"/>
          <w:szCs w:val="24"/>
        </w:rPr>
        <w:fldChar w:fldCharType="end"/>
      </w:r>
      <w:r w:rsidRPr="00E16B6D">
        <w:rPr>
          <w:rFonts w:ascii="Times New Roman" w:hAnsi="Times New Roman" w:cs="Times New Roman"/>
          <w:szCs w:val="24"/>
        </w:rPr>
        <w:t xml:space="preserve">, </w:t>
      </w:r>
      <w:r w:rsidR="00202E8B" w:rsidRPr="00202E8B">
        <w:rPr>
          <w:rFonts w:ascii="Times New Roman" w:hAnsi="Times New Roman" w:cs="Times New Roman"/>
          <w:szCs w:val="24"/>
        </w:rPr>
        <w:t>menciona que las organizaciones generalmente toman tres decisiones: estructura de capital, presupuesto de capital y gestión de capital de trabajo. Esta última es más importante porque afecta el CCE y la capacidad de las empresas para realizar sus operaciones diarias.</w:t>
      </w:r>
    </w:p>
    <w:p w14:paraId="47915EC5" w14:textId="77777777" w:rsidR="002229FF" w:rsidRDefault="002229FF" w:rsidP="00A630DC">
      <w:pPr>
        <w:spacing w:after="0"/>
        <w:ind w:firstLine="284"/>
        <w:rPr>
          <w:rFonts w:ascii="Times New Roman" w:hAnsi="Times New Roman" w:cs="Times New Roman"/>
          <w:szCs w:val="24"/>
        </w:rPr>
      </w:pPr>
    </w:p>
    <w:p w14:paraId="038681A5" w14:textId="77777777" w:rsidR="00202E8B" w:rsidRDefault="00202E8B" w:rsidP="00A630DC">
      <w:pPr>
        <w:spacing w:after="0"/>
        <w:ind w:firstLine="284"/>
        <w:rPr>
          <w:rFonts w:ascii="Times New Roman" w:hAnsi="Times New Roman" w:cs="Times New Roman"/>
          <w:szCs w:val="24"/>
        </w:rPr>
      </w:pPr>
    </w:p>
    <w:p w14:paraId="765F3180" w14:textId="2CEBFCBF" w:rsidR="00E16B6D" w:rsidRPr="00E16B6D" w:rsidRDefault="007414BE" w:rsidP="00A630DC">
      <w:pPr>
        <w:pStyle w:val="Prrafodelista"/>
        <w:numPr>
          <w:ilvl w:val="1"/>
          <w:numId w:val="7"/>
        </w:numPr>
        <w:spacing w:after="0"/>
        <w:ind w:hanging="76"/>
        <w:rPr>
          <w:rFonts w:ascii="Times New Roman" w:hAnsi="Times New Roman" w:cs="Times New Roman"/>
          <w:b/>
          <w:szCs w:val="24"/>
          <w:lang w:val="es-ES"/>
        </w:rPr>
      </w:pPr>
      <w:r>
        <w:rPr>
          <w:rFonts w:ascii="Times New Roman" w:hAnsi="Times New Roman" w:cs="Times New Roman"/>
          <w:b/>
          <w:bCs/>
          <w:szCs w:val="24"/>
          <w:lang w:val="es-ES"/>
        </w:rPr>
        <w:lastRenderedPageBreak/>
        <w:t>Rotación</w:t>
      </w:r>
      <w:r w:rsidR="00E16B6D">
        <w:rPr>
          <w:rFonts w:ascii="Times New Roman" w:hAnsi="Times New Roman" w:cs="Times New Roman"/>
          <w:b/>
          <w:bCs/>
          <w:szCs w:val="24"/>
          <w:lang w:val="es-ES"/>
        </w:rPr>
        <w:t xml:space="preserve"> de inventario</w:t>
      </w:r>
    </w:p>
    <w:p w14:paraId="17E4CEEC" w14:textId="77777777" w:rsidR="007A27CA" w:rsidRDefault="007A27CA" w:rsidP="00A630DC">
      <w:pPr>
        <w:spacing w:after="0"/>
        <w:ind w:firstLine="284"/>
        <w:rPr>
          <w:rFonts w:ascii="Times New Roman" w:hAnsi="Times New Roman" w:cs="Times New Roman"/>
          <w:szCs w:val="24"/>
        </w:rPr>
      </w:pPr>
    </w:p>
    <w:p w14:paraId="55AB2B47" w14:textId="741FCD13" w:rsidR="00E16B6D" w:rsidRPr="00E16B6D" w:rsidRDefault="00E16B6D" w:rsidP="00A630DC">
      <w:pPr>
        <w:spacing w:after="0"/>
        <w:ind w:firstLine="284"/>
        <w:rPr>
          <w:rFonts w:ascii="Times New Roman" w:hAnsi="Times New Roman" w:cs="Times New Roman"/>
          <w:szCs w:val="24"/>
        </w:rPr>
      </w:pPr>
      <w:r w:rsidRPr="00E16B6D">
        <w:rPr>
          <w:rFonts w:ascii="Times New Roman" w:hAnsi="Times New Roman" w:cs="Times New Roman"/>
          <w:szCs w:val="24"/>
        </w:rPr>
        <w:t xml:space="preserve">En cuanto a la rotación de inventarios </w:t>
      </w:r>
      <w:r w:rsidR="00F8720D">
        <w:rPr>
          <w:rFonts w:ascii="Times New Roman" w:hAnsi="Times New Roman" w:cs="Times New Roman"/>
          <w:szCs w:val="24"/>
        </w:rPr>
        <w:fldChar w:fldCharType="begin" w:fldLock="1"/>
      </w:r>
      <w:r w:rsidR="00B6682A">
        <w:rPr>
          <w:rFonts w:ascii="Times New Roman" w:hAnsi="Times New Roman" w:cs="Times New Roman"/>
          <w:szCs w:val="24"/>
        </w:rPr>
        <w:instrText>ADDIN CSL_CITATION {"citationItems":[{"id":"ITEM-1","itemData":{"ISBN":"9786071507419","abstract":"This research analyzes the work motivation of civil servants from Cluj-Napoca City Hall. Based on Victor Vroom’s expectancy theory are analyzed the aspects related to the context of work and career of civil servants that influence their expectation, instrumentality and valences. The study is based on a quantitative research methodology. The results show that although there are positive influences, however, the level of work motivation is medium. The study is important for the management of local public institutions, public and private managers as well as other interested parties.","author":[{"dropping-particle":"","family":"Ross","given":"Stephen A.","non-dropping-particle":"","parse-names":false,"suffix":""},{"dropping-particle":"","family":"Westerfield","given":"Randolph W.","non-dropping-particle":"","parse-names":false,"suffix":""},{"dropping-particle":"","family":"Jaffe","given":"Jeffrey F.","non-dropping-particle":"","parse-names":false,"suffix":""}],"id":"ITEM-1","issued":{"date-parts":[["2012"]]},"number-of-pages":"282","title":"Finanzas corporativas","type":"book"},"uris":["http://www.mendeley.com/documents/?uuid=f959dfc1-5fc1-442f-a5ae-432615b089bb"]}],"mendeley":{"formattedCitation":"(Ross et al., 2012)","plainTextFormattedCitation":"(Ross et al., 2012)","previouslyFormattedCitation":"(Ross et al., 2012)"},"properties":{"noteIndex":0},"schema":"https://github.com/citation-style-language/schema/raw/master/csl-citation.json"}</w:instrText>
      </w:r>
      <w:r w:rsidR="00F8720D">
        <w:rPr>
          <w:rFonts w:ascii="Times New Roman" w:hAnsi="Times New Roman" w:cs="Times New Roman"/>
          <w:szCs w:val="24"/>
        </w:rPr>
        <w:fldChar w:fldCharType="separate"/>
      </w:r>
      <w:r w:rsidR="00F8720D" w:rsidRPr="00F8720D">
        <w:rPr>
          <w:rFonts w:ascii="Times New Roman" w:hAnsi="Times New Roman" w:cs="Times New Roman"/>
          <w:noProof/>
          <w:szCs w:val="24"/>
        </w:rPr>
        <w:t xml:space="preserve">Ross </w:t>
      </w:r>
      <w:r w:rsidR="00F8720D" w:rsidRPr="0014344A">
        <w:rPr>
          <w:rFonts w:ascii="Times New Roman" w:hAnsi="Times New Roman" w:cs="Times New Roman"/>
          <w:i/>
          <w:iCs/>
          <w:noProof/>
          <w:szCs w:val="24"/>
        </w:rPr>
        <w:t>et al.</w:t>
      </w:r>
      <w:r w:rsidR="00CA66D2">
        <w:rPr>
          <w:rFonts w:ascii="Times New Roman" w:hAnsi="Times New Roman" w:cs="Times New Roman"/>
          <w:noProof/>
          <w:szCs w:val="24"/>
        </w:rPr>
        <w:t xml:space="preserve"> (</w:t>
      </w:r>
      <w:r w:rsidR="00F8720D" w:rsidRPr="00F8720D">
        <w:rPr>
          <w:rFonts w:ascii="Times New Roman" w:hAnsi="Times New Roman" w:cs="Times New Roman"/>
          <w:noProof/>
          <w:szCs w:val="24"/>
        </w:rPr>
        <w:t>2012)</w:t>
      </w:r>
      <w:r w:rsidR="00F8720D">
        <w:rPr>
          <w:rFonts w:ascii="Times New Roman" w:hAnsi="Times New Roman" w:cs="Times New Roman"/>
          <w:szCs w:val="24"/>
        </w:rPr>
        <w:fldChar w:fldCharType="end"/>
      </w:r>
      <w:r w:rsidR="00F8720D">
        <w:rPr>
          <w:rFonts w:ascii="Times New Roman" w:hAnsi="Times New Roman" w:cs="Times New Roman"/>
          <w:szCs w:val="24"/>
        </w:rPr>
        <w:t xml:space="preserve">, </w:t>
      </w:r>
      <w:r w:rsidRPr="00E16B6D">
        <w:rPr>
          <w:rFonts w:ascii="Times New Roman" w:hAnsi="Times New Roman" w:cs="Times New Roman"/>
          <w:szCs w:val="24"/>
        </w:rPr>
        <w:t xml:space="preserve">proponen que es una medida de la eficiencia con la que una empresa utiliza su inventario. Indica cuántas veces el inventario se renueva o se vende durante un período específico, generalmente un año. Una alta rotación de inventarios sugiere que la empresa es eficaz en la gestión y venta de su inventario, mientras que una baja rotación puede indicar problemas de obsolescencia o almacenamiento excesivo de inventario. De igual manera </w:t>
      </w:r>
      <w:r w:rsidR="00B6682A">
        <w:rPr>
          <w:rFonts w:ascii="Times New Roman" w:hAnsi="Times New Roman" w:cs="Times New Roman"/>
          <w:szCs w:val="24"/>
        </w:rPr>
        <w:fldChar w:fldCharType="begin" w:fldLock="1"/>
      </w:r>
      <w:r w:rsidR="002850E1">
        <w:rPr>
          <w:rFonts w:ascii="Times New Roman" w:hAnsi="Times New Roman" w:cs="Times New Roman"/>
          <w:szCs w:val="24"/>
        </w:rPr>
        <w:instrText>ADDIN CSL_CITATION {"citationItems":[{"id":"ITEM-1","itemData":{"author":[{"dropping-particle":"","family":"Anaya","given":"Hector Ortiz","non-dropping-particle":"","parse-names":false,"suffix":""}],"id":"ITEM-1","issued":{"date-parts":[["2018"]]},"title":"Analisis finanicero aplicado bajo NIIF","type":"book"},"uris":["http://www.mendeley.com/documents/?uuid=17dd43bf-412a-4ad3-83c8-db8946fbdf97"]}],"mendeley":{"formattedCitation":"(Anaya, 2018)","plainTextFormattedCitation":"(Anaya, 2018)","previouslyFormattedCitation":"(Anaya, 2018)"},"properties":{"noteIndex":0},"schema":"https://github.com/citation-style-language/schema/raw/master/csl-citation.json"}</w:instrText>
      </w:r>
      <w:r w:rsidR="00B6682A">
        <w:rPr>
          <w:rFonts w:ascii="Times New Roman" w:hAnsi="Times New Roman" w:cs="Times New Roman"/>
          <w:szCs w:val="24"/>
        </w:rPr>
        <w:fldChar w:fldCharType="separate"/>
      </w:r>
      <w:r w:rsidR="00B6682A" w:rsidRPr="00B6682A">
        <w:rPr>
          <w:rFonts w:ascii="Times New Roman" w:hAnsi="Times New Roman" w:cs="Times New Roman"/>
          <w:noProof/>
          <w:szCs w:val="24"/>
        </w:rPr>
        <w:t>Anaya</w:t>
      </w:r>
      <w:r w:rsidR="00CA66D2">
        <w:rPr>
          <w:rFonts w:ascii="Times New Roman" w:hAnsi="Times New Roman" w:cs="Times New Roman"/>
          <w:noProof/>
          <w:szCs w:val="24"/>
        </w:rPr>
        <w:t xml:space="preserve"> (</w:t>
      </w:r>
      <w:r w:rsidR="00B6682A" w:rsidRPr="00B6682A">
        <w:rPr>
          <w:rFonts w:ascii="Times New Roman" w:hAnsi="Times New Roman" w:cs="Times New Roman"/>
          <w:noProof/>
          <w:szCs w:val="24"/>
        </w:rPr>
        <w:t>2018)</w:t>
      </w:r>
      <w:r w:rsidR="00B6682A">
        <w:rPr>
          <w:rFonts w:ascii="Times New Roman" w:hAnsi="Times New Roman" w:cs="Times New Roman"/>
          <w:szCs w:val="24"/>
        </w:rPr>
        <w:fldChar w:fldCharType="end"/>
      </w:r>
      <w:r w:rsidR="00B6682A">
        <w:rPr>
          <w:rFonts w:ascii="Times New Roman" w:hAnsi="Times New Roman" w:cs="Times New Roman"/>
          <w:szCs w:val="24"/>
        </w:rPr>
        <w:t xml:space="preserve"> </w:t>
      </w:r>
      <w:r w:rsidRPr="00E16B6D">
        <w:rPr>
          <w:rFonts w:ascii="Times New Roman" w:hAnsi="Times New Roman" w:cs="Times New Roman"/>
          <w:szCs w:val="24"/>
        </w:rPr>
        <w:t>señala que la rotación de inventarios es una métrica financiera que mide la eficiencia con la que una empresa gestiona su inventario. Indica cuántas veces, en promedio, el inventario se vende y se convierte a cuentas por cobrar o efectivo.</w:t>
      </w:r>
    </w:p>
    <w:p w14:paraId="26CC7F9C" w14:textId="51245C0A" w:rsidR="00E16B6D" w:rsidRPr="00E16B6D" w:rsidRDefault="00E16B6D" w:rsidP="00A630DC">
      <w:pPr>
        <w:spacing w:after="0"/>
        <w:ind w:firstLine="284"/>
        <w:rPr>
          <w:rFonts w:ascii="Times New Roman" w:hAnsi="Times New Roman" w:cs="Times New Roman"/>
          <w:szCs w:val="24"/>
        </w:rPr>
      </w:pPr>
      <w:r w:rsidRPr="00E16B6D">
        <w:rPr>
          <w:rFonts w:ascii="Times New Roman" w:hAnsi="Times New Roman" w:cs="Times New Roman"/>
          <w:szCs w:val="24"/>
        </w:rPr>
        <w:t xml:space="preserve">Así mismo </w:t>
      </w:r>
      <w:r w:rsidR="002850E1">
        <w:rPr>
          <w:rFonts w:ascii="Times New Roman" w:hAnsi="Times New Roman" w:cs="Times New Roman"/>
          <w:szCs w:val="24"/>
        </w:rPr>
        <w:fldChar w:fldCharType="begin" w:fldLock="1"/>
      </w:r>
      <w:r w:rsidR="00B96CAF">
        <w:rPr>
          <w:rFonts w:ascii="Times New Roman" w:hAnsi="Times New Roman" w:cs="Times New Roman"/>
          <w:szCs w:val="24"/>
        </w:rPr>
        <w:instrText>ADDIN CSL_CITATION {"citationItems":[{"id":"ITEM-1","itemData":{"ISSN":"1696-8352","abstract":"(2017): \"La rotación de los inventarios y su incidencia en el flujo de efectivo\", Revista Observatorio de la Economía Latinoamericana, Ecuador, (septiembre 2017). En línea: http://www.eumed.net/cursecon/ecolat/ec/2017/inventarios-flujo-efectivo.html RESUMEN El presente artículo se basa en la Norma Internacional de Contabilidad NIC 2 Existencias, vigente en nuestro país, la cual tiene como objetivo prescribir el tratamiento contable de las existencias, la presentación en los estados financieros y la información a revelar en relación con la actividad comercial, esta norma suministra una guía práctica para la determinación de ese coste, así como para el posterior reconocimiento como un gasto de ejercicio, incluyendo también cualquier deterioro que rebaje el importe en libros al valor neto realizable. Se emplearon métodos de investigación descriptivo y documental con un enfoque cuantitativo, aplicando técnicas de recolección de datos como: entrevistas, encuestas y revisión de documentos. Se logró como resultado identificar los productos de alta y baja rotación, y además se elaboraron tablas con la valoración de las mercaderías revisando minuciosamente los costos que incurren en la adquisición de los productos. Palabras claves: Rotación, inventario, efectivo, empresa, activos. Abstract This article is based on the International Accounting Standard (IAS 2), in force in our country, which aims to prescribe the accounting treatment of inventories, the presentation in the financial statements and the information to be disclosed in relation to the commercial activity, this standard provides a practical guide for the determination of that cost, as well as for the subsequent recognition as an exercise expense, including any impairment that reduces the carrying amount to net realizable value. Descriptive and documentary research methods were used with a quantitative approach, applying data collection techniques such as interviews,","author":[{"dropping-particle":"","family":"Gastón","given":"Mae","non-dropping-particle":"","parse-names":false,"suffix":""},{"dropping-particle":"","family":"Suárez","given":"Guillermo","non-dropping-particle":"","parse-names":false,"suffix":""},{"dropping-particle":"","family":"Srta","given":"Gallegos","non-dropping-particle":"","parse-names":false,"suffix":""},{"dropping-particle":"","family":"Polet","given":"Denisse","non-dropping-particle":"","parse-names":false,"suffix":""},{"dropping-particle":"","family":"Cárdenas","given":"Miranda","non-dropping-particle":"","parse-names":false,"suffix":""},{"dropping-particle":"","family":"Guillermo","given":"Gastón","non-dropping-particle":"","parse-names":false,"suffix":""},{"dropping-particle":"","family":"Gallegos Álvarez","given":"Suárez","non-dropping-particle":"","parse-names":false,"suffix":""},{"dropping-particle":"","family":"Denisse","given":"Polet","non-dropping-particle":"","parse-names":false,"suffix":""},{"dropping-particle":"","family":"Miranda","given":"Cárdenas","non-dropping-particle":"","parse-names":false,"suffix":""}],"container-title":"Revista Observatorio de la Economia Latinoamericana","id":"ITEM-1","issue":"Ias 2","issued":{"date-parts":[["2017"]]},"page":"11-33","title":"LA ROTACIÓN DE LOS INVENTARIOS Y SU INCIDENCIA EN EL FLUJO DE EFECTIVO","type":"article-journal"},"uris":["http://www.mendeley.com/documents/?uuid=95a1bb01-7b49-4e61-ac4a-3ad21fee7c71"]}],"mendeley":{"formattedCitation":"(Gastón et al., 2017)","plainTextFormattedCitation":"(Gastón et al., 2017)","previouslyFormattedCitation":"(Gastón et al., 2017)"},"properties":{"noteIndex":0},"schema":"https://github.com/citation-style-language/schema/raw/master/csl-citation.json"}</w:instrText>
      </w:r>
      <w:r w:rsidR="002850E1">
        <w:rPr>
          <w:rFonts w:ascii="Times New Roman" w:hAnsi="Times New Roman" w:cs="Times New Roman"/>
          <w:szCs w:val="24"/>
        </w:rPr>
        <w:fldChar w:fldCharType="separate"/>
      </w:r>
      <w:r w:rsidR="002850E1" w:rsidRPr="002850E1">
        <w:rPr>
          <w:rFonts w:ascii="Times New Roman" w:hAnsi="Times New Roman" w:cs="Times New Roman"/>
          <w:noProof/>
          <w:szCs w:val="24"/>
        </w:rPr>
        <w:t xml:space="preserve">Gastón </w:t>
      </w:r>
      <w:r w:rsidR="002850E1" w:rsidRPr="0014344A">
        <w:rPr>
          <w:rFonts w:ascii="Times New Roman" w:hAnsi="Times New Roman" w:cs="Times New Roman"/>
          <w:i/>
          <w:iCs/>
          <w:noProof/>
          <w:szCs w:val="24"/>
        </w:rPr>
        <w:t>et al.</w:t>
      </w:r>
      <w:r w:rsidR="00CA66D2">
        <w:rPr>
          <w:rFonts w:ascii="Times New Roman" w:hAnsi="Times New Roman" w:cs="Times New Roman"/>
          <w:noProof/>
          <w:szCs w:val="24"/>
        </w:rPr>
        <w:t xml:space="preserve"> (</w:t>
      </w:r>
      <w:r w:rsidR="002850E1" w:rsidRPr="002850E1">
        <w:rPr>
          <w:rFonts w:ascii="Times New Roman" w:hAnsi="Times New Roman" w:cs="Times New Roman"/>
          <w:noProof/>
          <w:szCs w:val="24"/>
        </w:rPr>
        <w:t>2017)</w:t>
      </w:r>
      <w:r w:rsidR="002850E1">
        <w:rPr>
          <w:rFonts w:ascii="Times New Roman" w:hAnsi="Times New Roman" w:cs="Times New Roman"/>
          <w:szCs w:val="24"/>
        </w:rPr>
        <w:fldChar w:fldCharType="end"/>
      </w:r>
      <w:r w:rsidR="002850E1">
        <w:rPr>
          <w:rFonts w:ascii="Times New Roman" w:hAnsi="Times New Roman" w:cs="Times New Roman"/>
          <w:szCs w:val="24"/>
        </w:rPr>
        <w:t xml:space="preserve"> </w:t>
      </w:r>
      <w:r w:rsidRPr="00E16B6D">
        <w:rPr>
          <w:rFonts w:ascii="Times New Roman" w:hAnsi="Times New Roman" w:cs="Times New Roman"/>
          <w:szCs w:val="24"/>
        </w:rPr>
        <w:t>sugiere</w:t>
      </w:r>
      <w:r w:rsidR="00CA66D2">
        <w:rPr>
          <w:rFonts w:ascii="Times New Roman" w:hAnsi="Times New Roman" w:cs="Times New Roman"/>
          <w:szCs w:val="24"/>
        </w:rPr>
        <w:t>n</w:t>
      </w:r>
      <w:r w:rsidRPr="00E16B6D">
        <w:rPr>
          <w:rFonts w:ascii="Times New Roman" w:hAnsi="Times New Roman" w:cs="Times New Roman"/>
          <w:szCs w:val="24"/>
        </w:rPr>
        <w:t xml:space="preserve"> que la rotación de inventarios es el indicador que define la rapidez con la que se convierte el inventario en ventas. En términos sencillos, representa el tiempo que tarda en venderse. Una rotación alta indica que los productos permanecen menos tiempo en el almacén, lo que indica una gestión eficaz de los inventarios. Por lo tanto, una empresa que puede vender todo su inventario en un mes necesitará más recursos que una empresa que puede hacerlo en una semana.</w:t>
      </w:r>
      <w:r w:rsidR="00CA66D2">
        <w:rPr>
          <w:rFonts w:ascii="Times New Roman" w:hAnsi="Times New Roman" w:cs="Times New Roman"/>
          <w:szCs w:val="24"/>
        </w:rPr>
        <w:t xml:space="preserve"> </w:t>
      </w:r>
      <w:r w:rsidR="00B96CAF">
        <w:rPr>
          <w:rFonts w:ascii="Times New Roman" w:hAnsi="Times New Roman" w:cs="Times New Roman"/>
          <w:szCs w:val="24"/>
        </w:rPr>
        <w:t xml:space="preserve">Para </w:t>
      </w:r>
      <w:r w:rsidR="00B96CAF">
        <w:rPr>
          <w:rFonts w:ascii="Times New Roman" w:hAnsi="Times New Roman" w:cs="Times New Roman"/>
          <w:szCs w:val="24"/>
        </w:rPr>
        <w:fldChar w:fldCharType="begin" w:fldLock="1"/>
      </w:r>
      <w:r w:rsidR="00B95C8D">
        <w:rPr>
          <w:rFonts w:ascii="Times New Roman" w:hAnsi="Times New Roman" w:cs="Times New Roman"/>
          <w:szCs w:val="24"/>
        </w:rPr>
        <w:instrText>ADDIN CSL_CITATION {"citationItems":[{"id":"ITEM-1","itemData":{"abstract":"El sector de la construcción de edificiosresidenciales aporta significativamente a la economía nacional con la generación de empleo y el desarrollo de la infraestructura de viviendas y obras de ingeniería. Para que los resultados sean favorables, se deben administrar diferentes situaciones y una de estos es la gestión del capital de trabajo, lo cual va a ser uno de los componentes para que las empresas logren resultados financieros positivos y se logre la generación de valor. En la presente investigación se analizan esos resultados financieros y como fue la gestión del capital de trabajo en 2017 y 2018 en el sector mencionado. Para esto se obtuvieron datos financieros de Supersociedades y se construyeron los indicadores financieros que dan muestra de la gestión de las empresas del sector y que conllevan a determinar si se creó valor. A partir de esto, se concluye que los resultados no fueron favorables y que el nivel de capital de trabajo fue muy alto para las ventas obtenidas, lo que hizo la productividad del capital de trabajo no fuera adecuada y la relación con el EBITDA mostrara que no era favorable el crecimiento dado que se demandó caja de acuerdo al indicador de Palanca de Crecimiento. Esto también afecto la Rentabilidad del Activo Neto lo que impacto directamente en el EVA y por ende a la generación de valor de las empresas del sector.","author":[{"dropping-particle":"","family":"Chaverra","given":"Laura","non-dropping-particle":"","parse-names":false,"suffix":""},{"dropping-particle":"","family":"Lopez","given":"Dubal","non-dropping-particle":"","parse-names":false,"suffix":""},{"dropping-particle":"","family":"Velez","given":"Wolfan","non-dropping-particle":"","parse-names":false,"suffix":""}],"id":"ITEM-1","issued":{"date-parts":[["2019"]]},"title":"El capital de trabajo operativo y su relación con la generación de valor de las empresas del sector de la construcción de edificios residenciales radicadas en Medellín","type":"article-journal"},"uris":["http://www.mendeley.com/documents/?uuid=10ef1484-d59c-4e5c-9c4d-10e9d774366f"]}],"mendeley":{"formattedCitation":"(Chaverra et al., 2019)","plainTextFormattedCitation":"(Chaverra et al., 2019)","previouslyFormattedCitation":"(Chaverra et al., 2019)"},"properties":{"noteIndex":0},"schema":"https://github.com/citation-style-language/schema/raw/master/csl-citation.json"}</w:instrText>
      </w:r>
      <w:r w:rsidR="00B96CAF">
        <w:rPr>
          <w:rFonts w:ascii="Times New Roman" w:hAnsi="Times New Roman" w:cs="Times New Roman"/>
          <w:szCs w:val="24"/>
        </w:rPr>
        <w:fldChar w:fldCharType="separate"/>
      </w:r>
      <w:r w:rsidR="00B96CAF" w:rsidRPr="00B96CAF">
        <w:rPr>
          <w:rFonts w:ascii="Times New Roman" w:hAnsi="Times New Roman" w:cs="Times New Roman"/>
          <w:noProof/>
          <w:szCs w:val="24"/>
        </w:rPr>
        <w:t xml:space="preserve">Chaverra </w:t>
      </w:r>
      <w:r w:rsidR="00B96CAF" w:rsidRPr="0014344A">
        <w:rPr>
          <w:rFonts w:ascii="Times New Roman" w:hAnsi="Times New Roman" w:cs="Times New Roman"/>
          <w:i/>
          <w:iCs/>
          <w:noProof/>
          <w:szCs w:val="24"/>
        </w:rPr>
        <w:t>et al.</w:t>
      </w:r>
      <w:r w:rsidR="00CA66D2">
        <w:rPr>
          <w:rFonts w:ascii="Times New Roman" w:hAnsi="Times New Roman" w:cs="Times New Roman"/>
          <w:noProof/>
          <w:szCs w:val="24"/>
        </w:rPr>
        <w:t xml:space="preserve"> (</w:t>
      </w:r>
      <w:r w:rsidR="00B96CAF" w:rsidRPr="00B96CAF">
        <w:rPr>
          <w:rFonts w:ascii="Times New Roman" w:hAnsi="Times New Roman" w:cs="Times New Roman"/>
          <w:noProof/>
          <w:szCs w:val="24"/>
        </w:rPr>
        <w:t>2019)</w:t>
      </w:r>
      <w:r w:rsidR="00B96CAF">
        <w:rPr>
          <w:rFonts w:ascii="Times New Roman" w:hAnsi="Times New Roman" w:cs="Times New Roman"/>
          <w:szCs w:val="24"/>
        </w:rPr>
        <w:fldChar w:fldCharType="end"/>
      </w:r>
      <w:r w:rsidRPr="00E16B6D">
        <w:rPr>
          <w:rFonts w:ascii="Times New Roman" w:hAnsi="Times New Roman" w:cs="Times New Roman"/>
          <w:szCs w:val="24"/>
        </w:rPr>
        <w:t xml:space="preserve">, la administración del inventario en este sector, es relevante dado que hace parte de los cuatro pilares fundamentales para el manejo financiero del capital de trabajo: </w:t>
      </w:r>
      <w:r w:rsidR="006447BF" w:rsidRPr="006447BF">
        <w:rPr>
          <w:rFonts w:ascii="Times New Roman" w:hAnsi="Times New Roman" w:cs="Times New Roman"/>
          <w:szCs w:val="24"/>
        </w:rPr>
        <w:t xml:space="preserve">capacidad de gestión, habilidad </w:t>
      </w:r>
      <w:r w:rsidR="0058049F">
        <w:rPr>
          <w:rFonts w:ascii="Times New Roman" w:hAnsi="Times New Roman" w:cs="Times New Roman"/>
          <w:szCs w:val="24"/>
        </w:rPr>
        <w:t>en la</w:t>
      </w:r>
      <w:r w:rsidR="00DF2D52">
        <w:rPr>
          <w:rFonts w:ascii="Times New Roman" w:hAnsi="Times New Roman" w:cs="Times New Roman"/>
          <w:szCs w:val="24"/>
        </w:rPr>
        <w:t xml:space="preserve"> </w:t>
      </w:r>
      <w:r w:rsidR="0058049F">
        <w:rPr>
          <w:rFonts w:ascii="Times New Roman" w:hAnsi="Times New Roman" w:cs="Times New Roman"/>
          <w:szCs w:val="24"/>
        </w:rPr>
        <w:t xml:space="preserve">gestión de proveedores, </w:t>
      </w:r>
      <w:r w:rsidR="006447BF" w:rsidRPr="006447BF">
        <w:rPr>
          <w:rFonts w:ascii="Times New Roman" w:hAnsi="Times New Roman" w:cs="Times New Roman"/>
          <w:szCs w:val="24"/>
        </w:rPr>
        <w:t>adecuada administración de  inventarios y gestión eficiente de cuentas por cobrar.</w:t>
      </w:r>
    </w:p>
    <w:p w14:paraId="17667F75" w14:textId="4A860F5E" w:rsidR="00E16B6D" w:rsidRPr="00E16B6D" w:rsidRDefault="00E16B6D" w:rsidP="00A630DC">
      <w:pPr>
        <w:spacing w:after="0"/>
        <w:ind w:firstLine="284"/>
        <w:rPr>
          <w:rFonts w:ascii="Times New Roman" w:hAnsi="Times New Roman" w:cs="Times New Roman"/>
          <w:b/>
          <w:szCs w:val="24"/>
          <w:lang w:val="es-ES"/>
        </w:rPr>
      </w:pPr>
      <w:r w:rsidRPr="00E16B6D">
        <w:rPr>
          <w:rFonts w:ascii="Times New Roman" w:hAnsi="Times New Roman" w:cs="Times New Roman"/>
          <w:szCs w:val="24"/>
        </w:rPr>
        <w:t xml:space="preserve">En este mismo sentido </w:t>
      </w:r>
      <w:r w:rsidR="00B95C8D">
        <w:rPr>
          <w:rFonts w:ascii="Times New Roman" w:hAnsi="Times New Roman" w:cs="Times New Roman"/>
          <w:szCs w:val="24"/>
        </w:rPr>
        <w:fldChar w:fldCharType="begin" w:fldLock="1"/>
      </w:r>
      <w:r w:rsidR="00B95C8D">
        <w:rPr>
          <w:rFonts w:ascii="Times New Roman" w:hAnsi="Times New Roman" w:cs="Times New Roman"/>
          <w:szCs w:val="24"/>
        </w:rPr>
        <w:instrText>ADDIN CSL_CITATION {"citationItems":[{"id":"ITEM-1","itemData":{"DOI":"10.15517/isucr.v23i48.49652","ISSN":"2215-2458","abstract":"En el presente estudio se analiza la importancia de una eficiente administración del ciclo operativo por parte de las Pymes como estrategia para lograr la operatividad, competitividad y su permanencia en el tiempo. La gestión adecuada del ciclo de operación, le permite contar con la información suficiente para estimar y cubrir sus necesidades de efectivo, y los límites que tiene para gestionar las operaciones de crédito o de contado.\r Para la realización de éste, se hizo en primera instancia una revisión bibliográfica para fundamentar teóricamente los elementos, tanto del ciclo operativo como del ciclo de conversión de efectivo. Posteriormente, se aplicó una encuesta que permitió argumentar la necesidad, el grado de conocimiento y aplicación del ciclo operativo y los datos que permiten conocer la cantidad de días en el que operan estas Pymes.\r Como resultado se determinó que una cantidad considerable de las Pymes desconoce la gestión del ciclo operativo, por lo tanto, no incorporan esta información en la toma de decisiones. Respecto al manejo de los ciclos de cobro, pago e inventarios, los resultados encontrados, son contrarios a lo que se aplica en la buena práctica administrativa, y a lo que indica la teoría.  Por otro lado, aunque están claros de la cantidad de días que emplean cobrando y pagando, no tienen capacitación que les permita darse cuenta, de cuáles son las implicaciones que tienen los ciclos actuales. Dicha aplicación se refiere al impacto financiero que tienen por el hecho de operar con desconocimiento y de manera empírica.","author":[{"dropping-particle":"","family":"Bermúdez Carrillo","given":"Luis Alberto","non-dropping-particle":"","parse-names":false,"suffix":""},{"dropping-particle":"","family":"Campos Campos","given":"Diego","non-dropping-particle":"","parse-names":false,"suffix":""}],"container-title":"InterSedes","id":"ITEM-1","issued":{"date-parts":[["2022"]]},"page":"75-93","title":"La importancia de la administración eficiente del ciclo operativo en las pymes de Santa Cruz y Carrillo","type":"article-journal","volume":"23"},"uris":["http://www.mendeley.com/documents/?uuid=574d474a-d0df-438b-ab38-6fb97d5ab500"]}],"mendeley":{"formattedCitation":"(Bermúdez Carrillo &amp; Campos Campos, 2022)","manualFormatting":"(Bermúdez y Campos, 2022)","plainTextFormattedCitation":"(Bermúdez Carrillo &amp; Campos Campos, 2022)","previouslyFormattedCitation":"(Bermúdez Carrillo &amp; Campos Campos, 2022)"},"properties":{"noteIndex":0},"schema":"https://github.com/citation-style-language/schema/raw/master/csl-citation.json"}</w:instrText>
      </w:r>
      <w:r w:rsidR="00B95C8D">
        <w:rPr>
          <w:rFonts w:ascii="Times New Roman" w:hAnsi="Times New Roman" w:cs="Times New Roman"/>
          <w:szCs w:val="24"/>
        </w:rPr>
        <w:fldChar w:fldCharType="separate"/>
      </w:r>
      <w:r w:rsidR="00B95C8D" w:rsidRPr="00B95C8D">
        <w:rPr>
          <w:rFonts w:ascii="Times New Roman" w:hAnsi="Times New Roman" w:cs="Times New Roman"/>
          <w:noProof/>
          <w:szCs w:val="24"/>
        </w:rPr>
        <w:t xml:space="preserve">Bermúdez </w:t>
      </w:r>
      <w:r w:rsidR="00CA66D2">
        <w:rPr>
          <w:rFonts w:ascii="Times New Roman" w:hAnsi="Times New Roman" w:cs="Times New Roman"/>
          <w:noProof/>
          <w:szCs w:val="24"/>
        </w:rPr>
        <w:t>&amp;</w:t>
      </w:r>
      <w:r w:rsidR="00B95C8D">
        <w:rPr>
          <w:rFonts w:ascii="Times New Roman" w:hAnsi="Times New Roman" w:cs="Times New Roman"/>
          <w:noProof/>
          <w:szCs w:val="24"/>
        </w:rPr>
        <w:t xml:space="preserve"> Campos</w:t>
      </w:r>
      <w:r w:rsidR="00CA66D2">
        <w:rPr>
          <w:rFonts w:ascii="Times New Roman" w:hAnsi="Times New Roman" w:cs="Times New Roman"/>
          <w:noProof/>
          <w:szCs w:val="24"/>
        </w:rPr>
        <w:t xml:space="preserve"> (</w:t>
      </w:r>
      <w:r w:rsidR="00B95C8D" w:rsidRPr="00B95C8D">
        <w:rPr>
          <w:rFonts w:ascii="Times New Roman" w:hAnsi="Times New Roman" w:cs="Times New Roman"/>
          <w:noProof/>
          <w:szCs w:val="24"/>
        </w:rPr>
        <w:t>2022)</w:t>
      </w:r>
      <w:r w:rsidR="00B95C8D">
        <w:rPr>
          <w:rFonts w:ascii="Times New Roman" w:hAnsi="Times New Roman" w:cs="Times New Roman"/>
          <w:szCs w:val="24"/>
        </w:rPr>
        <w:fldChar w:fldCharType="end"/>
      </w:r>
      <w:r w:rsidR="00B95C8D">
        <w:rPr>
          <w:rFonts w:ascii="Times New Roman" w:hAnsi="Times New Roman" w:cs="Times New Roman"/>
          <w:szCs w:val="24"/>
        </w:rPr>
        <w:t xml:space="preserve"> </w:t>
      </w:r>
      <w:r w:rsidR="006B142E" w:rsidRPr="006B142E">
        <w:rPr>
          <w:rFonts w:ascii="Times New Roman" w:hAnsi="Times New Roman" w:cs="Times New Roman"/>
          <w:szCs w:val="24"/>
        </w:rPr>
        <w:t>mencionan que las empresas que no tienen una estrategia de ventas y gestión de inventarios pueden aprovechar los descuentos e incentivos de los proveedores y comprar demasiado, lo que provoca costos de mantenimiento y rot</w:t>
      </w:r>
      <w:r w:rsidR="006B142E">
        <w:rPr>
          <w:rFonts w:ascii="Times New Roman" w:hAnsi="Times New Roman" w:cs="Times New Roman"/>
          <w:szCs w:val="24"/>
        </w:rPr>
        <w:t>ación</w:t>
      </w:r>
      <w:r w:rsidRPr="00E16B6D">
        <w:rPr>
          <w:rFonts w:ascii="Times New Roman" w:hAnsi="Times New Roman" w:cs="Times New Roman"/>
          <w:szCs w:val="24"/>
        </w:rPr>
        <w:t>.</w:t>
      </w:r>
      <w:r w:rsidR="002D1328">
        <w:rPr>
          <w:rFonts w:ascii="Times New Roman" w:hAnsi="Times New Roman" w:cs="Times New Roman"/>
          <w:szCs w:val="24"/>
        </w:rPr>
        <w:t xml:space="preserve"> </w:t>
      </w:r>
      <w:r w:rsidRPr="00E16B6D">
        <w:rPr>
          <w:rFonts w:ascii="Times New Roman" w:hAnsi="Times New Roman" w:cs="Times New Roman"/>
          <w:szCs w:val="24"/>
        </w:rPr>
        <w:t>Además, hay situaciones en las que la falta de planificación hace que el reabastecimiento sea más costoso y dificulta el manejo de las reservas de seguridad.</w:t>
      </w:r>
    </w:p>
    <w:p w14:paraId="7C5A1603" w14:textId="77777777" w:rsidR="00E16B6D" w:rsidRDefault="00E16B6D" w:rsidP="00A630DC">
      <w:pPr>
        <w:spacing w:after="0"/>
        <w:ind w:firstLine="284"/>
        <w:rPr>
          <w:rFonts w:ascii="Times New Roman" w:hAnsi="Times New Roman" w:cs="Times New Roman"/>
          <w:szCs w:val="24"/>
        </w:rPr>
      </w:pPr>
    </w:p>
    <w:p w14:paraId="62BFF9EF" w14:textId="23D5EF38" w:rsidR="00E16B6D" w:rsidRPr="00E16B6D" w:rsidRDefault="007414BE" w:rsidP="00A630DC">
      <w:pPr>
        <w:pStyle w:val="Prrafodelista"/>
        <w:numPr>
          <w:ilvl w:val="1"/>
          <w:numId w:val="7"/>
        </w:numPr>
        <w:spacing w:after="0"/>
        <w:ind w:hanging="76"/>
        <w:rPr>
          <w:rFonts w:ascii="Times New Roman" w:hAnsi="Times New Roman" w:cs="Times New Roman"/>
          <w:b/>
          <w:szCs w:val="24"/>
          <w:lang w:val="es-ES"/>
        </w:rPr>
      </w:pPr>
      <w:r>
        <w:rPr>
          <w:rFonts w:ascii="Times New Roman" w:hAnsi="Times New Roman" w:cs="Times New Roman"/>
          <w:b/>
          <w:bCs/>
          <w:szCs w:val="24"/>
          <w:lang w:val="es-ES"/>
        </w:rPr>
        <w:t>Rotación</w:t>
      </w:r>
      <w:r w:rsidR="00E16B6D">
        <w:rPr>
          <w:rFonts w:ascii="Times New Roman" w:hAnsi="Times New Roman" w:cs="Times New Roman"/>
          <w:b/>
          <w:bCs/>
          <w:szCs w:val="24"/>
          <w:lang w:val="es-ES"/>
        </w:rPr>
        <w:t xml:space="preserve"> de cartera</w:t>
      </w:r>
    </w:p>
    <w:p w14:paraId="3CE00599" w14:textId="77777777" w:rsidR="00CA66D2" w:rsidRDefault="00CA66D2" w:rsidP="00A630DC">
      <w:pPr>
        <w:spacing w:after="0"/>
        <w:ind w:firstLine="284"/>
        <w:rPr>
          <w:rFonts w:ascii="Times New Roman" w:hAnsi="Times New Roman" w:cs="Times New Roman"/>
          <w:szCs w:val="24"/>
        </w:rPr>
      </w:pPr>
    </w:p>
    <w:p w14:paraId="46DD03D0" w14:textId="2381DDB2" w:rsidR="00E16B6D" w:rsidRDefault="004C2E06" w:rsidP="00A630DC">
      <w:pPr>
        <w:spacing w:after="0"/>
        <w:ind w:firstLine="284"/>
        <w:rPr>
          <w:rFonts w:ascii="Times New Roman" w:hAnsi="Times New Roman" w:cs="Times New Roman"/>
          <w:szCs w:val="24"/>
        </w:rPr>
      </w:pPr>
      <w:r>
        <w:rPr>
          <w:rFonts w:ascii="Times New Roman" w:hAnsi="Times New Roman" w:cs="Times New Roman"/>
          <w:szCs w:val="24"/>
        </w:rPr>
        <w:t>S</w:t>
      </w:r>
      <w:r w:rsidR="00E16B6D" w:rsidRPr="00E16B6D">
        <w:rPr>
          <w:rFonts w:ascii="Times New Roman" w:hAnsi="Times New Roman" w:cs="Times New Roman"/>
          <w:szCs w:val="24"/>
        </w:rPr>
        <w:t xml:space="preserve">egún </w:t>
      </w:r>
      <w:r w:rsidR="00B95C8D">
        <w:rPr>
          <w:rFonts w:ascii="Times New Roman" w:hAnsi="Times New Roman" w:cs="Times New Roman"/>
          <w:szCs w:val="24"/>
        </w:rPr>
        <w:fldChar w:fldCharType="begin" w:fldLock="1"/>
      </w:r>
      <w:r w:rsidR="00B95C8D">
        <w:rPr>
          <w:rFonts w:ascii="Times New Roman" w:hAnsi="Times New Roman" w:cs="Times New Roman"/>
          <w:szCs w:val="24"/>
        </w:rPr>
        <w:instrText>ADDIN CSL_CITATION {"citationItems":[{"id":"ITEM-1","itemData":{"ISBN":"9781604138795","abstract":"riesgo es una medida de la incertidumbre en torno al rendimiento que ganará una inversión. Las inversiones cuyos rendimientos son más inciertos se consideran generalmente más riesgosas.","author":[{"dropping-particle":"","family":"Gitman","given":"Lawrence","non-dropping-particle":"","parse-names":false,"suffix":""},{"dropping-particle":"","family":"Zutter","given":"Chad J.","non-dropping-particle":"","parse-names":false,"suffix":""}],"container-title":"Canadian Psychologist / Psychologie canadienne","id":"ITEM-1","issue":"4","issued":{"date-parts":[["2012"]]},"number-of-pages":"360-360","title":"Prinpios de administración financiera","type":"book","volume":"8a"},"uris":["http://www.mendeley.com/documents/?uuid=01f5b1b0-a938-4ca0-85e5-c8f7798fe617"]}],"mendeley":{"formattedCitation":"(Gitman &amp; Zutter, 2012)","manualFormatting":"(Gitman y Zutter, 2012)","plainTextFormattedCitation":"(Gitman &amp; Zutter, 2012)","previouslyFormattedCitation":"(Gitman &amp; Zutter, 2012)"},"properties":{"noteIndex":0},"schema":"https://github.com/citation-style-language/schema/raw/master/csl-citation.json"}</w:instrText>
      </w:r>
      <w:r w:rsidR="00B95C8D">
        <w:rPr>
          <w:rFonts w:ascii="Times New Roman" w:hAnsi="Times New Roman" w:cs="Times New Roman"/>
          <w:szCs w:val="24"/>
        </w:rPr>
        <w:fldChar w:fldCharType="separate"/>
      </w:r>
      <w:r w:rsidR="00B95C8D">
        <w:rPr>
          <w:rFonts w:ascii="Times New Roman" w:hAnsi="Times New Roman" w:cs="Times New Roman"/>
          <w:noProof/>
          <w:szCs w:val="24"/>
        </w:rPr>
        <w:t>Gitman</w:t>
      </w:r>
      <w:r>
        <w:rPr>
          <w:rFonts w:ascii="Times New Roman" w:hAnsi="Times New Roman" w:cs="Times New Roman"/>
          <w:noProof/>
          <w:szCs w:val="24"/>
        </w:rPr>
        <w:t xml:space="preserve"> &amp;</w:t>
      </w:r>
      <w:r w:rsidR="00B95C8D" w:rsidRPr="00B95C8D">
        <w:rPr>
          <w:rFonts w:ascii="Times New Roman" w:hAnsi="Times New Roman" w:cs="Times New Roman"/>
          <w:noProof/>
          <w:szCs w:val="24"/>
        </w:rPr>
        <w:t xml:space="preserve"> Zutter</w:t>
      </w:r>
      <w:r>
        <w:rPr>
          <w:rFonts w:ascii="Times New Roman" w:hAnsi="Times New Roman" w:cs="Times New Roman"/>
          <w:noProof/>
          <w:szCs w:val="24"/>
        </w:rPr>
        <w:t xml:space="preserve"> (</w:t>
      </w:r>
      <w:r w:rsidR="00B95C8D" w:rsidRPr="00B95C8D">
        <w:rPr>
          <w:rFonts w:ascii="Times New Roman" w:hAnsi="Times New Roman" w:cs="Times New Roman"/>
          <w:noProof/>
          <w:szCs w:val="24"/>
        </w:rPr>
        <w:t>2012)</w:t>
      </w:r>
      <w:r w:rsidR="00B95C8D">
        <w:rPr>
          <w:rFonts w:ascii="Times New Roman" w:hAnsi="Times New Roman" w:cs="Times New Roman"/>
          <w:szCs w:val="24"/>
        </w:rPr>
        <w:fldChar w:fldCharType="end"/>
      </w:r>
      <w:r>
        <w:rPr>
          <w:rFonts w:ascii="Times New Roman" w:hAnsi="Times New Roman" w:cs="Times New Roman"/>
          <w:szCs w:val="24"/>
        </w:rPr>
        <w:t xml:space="preserve"> </w:t>
      </w:r>
      <w:r w:rsidRPr="00E16B6D">
        <w:rPr>
          <w:rFonts w:ascii="Times New Roman" w:hAnsi="Times New Roman" w:cs="Times New Roman"/>
          <w:szCs w:val="24"/>
        </w:rPr>
        <w:t>la rotación de cartera</w:t>
      </w:r>
      <w:r w:rsidR="00E16B6D" w:rsidRPr="00E16B6D">
        <w:rPr>
          <w:rFonts w:ascii="Times New Roman" w:hAnsi="Times New Roman" w:cs="Times New Roman"/>
          <w:szCs w:val="24"/>
        </w:rPr>
        <w:t xml:space="preserve">, en el contexto financiero, es el tiempo promedio que tardan las ventas a crédito en ser pagadas. </w:t>
      </w:r>
      <w:r w:rsidR="00E16B6D" w:rsidRPr="00E16B6D">
        <w:rPr>
          <w:rFonts w:ascii="Times New Roman" w:hAnsi="Times New Roman" w:cs="Times New Roman"/>
          <w:szCs w:val="24"/>
        </w:rPr>
        <w:fldChar w:fldCharType="begin" w:fldLock="1"/>
      </w:r>
      <w:r w:rsidR="00602A09">
        <w:rPr>
          <w:rFonts w:ascii="Times New Roman" w:hAnsi="Times New Roman" w:cs="Times New Roman"/>
          <w:szCs w:val="24"/>
        </w:rPr>
        <w:instrText>ADDIN CSL_CITATION {"citationItems":[{"id":"ITEM-1","itemData":{"author":[{"dropping-particle":"","family":"Anaya","given":"Hector Ortiz","non-dropping-particle":"","parse-names":false,"suffix":""}],"id":"ITEM-1","issued":{"date-parts":[["2018"]]},"title":"Analisis finanicero aplicado bajo NIIF","type":"book"},"uris":["http://www.mendeley.com/documents/?uuid=17dd43bf-412a-4ad3-83c8-db8946fbdf97"]}],"mendeley":{"formattedCitation":"(Anaya, 2018)","plainTextFormattedCitation":"(Anaya, 2018)","previouslyFormattedCitation":"(Anaya, 2018)"},"properties":{"noteIndex":0},"schema":"https://github.com/citation-style-language/schema/raw/master/csl-citation.json"}</w:instrText>
      </w:r>
      <w:r w:rsidR="00E16B6D" w:rsidRPr="00E16B6D">
        <w:rPr>
          <w:rFonts w:ascii="Times New Roman" w:hAnsi="Times New Roman" w:cs="Times New Roman"/>
          <w:szCs w:val="24"/>
        </w:rPr>
        <w:fldChar w:fldCharType="separate"/>
      </w:r>
      <w:r w:rsidR="00E16B6D" w:rsidRPr="00B95C8D">
        <w:rPr>
          <w:rFonts w:ascii="Times New Roman" w:hAnsi="Times New Roman" w:cs="Times New Roman"/>
          <w:noProof/>
          <w:szCs w:val="24"/>
        </w:rPr>
        <w:t>Anaya</w:t>
      </w:r>
      <w:r>
        <w:rPr>
          <w:rFonts w:ascii="Times New Roman" w:hAnsi="Times New Roman" w:cs="Times New Roman"/>
          <w:noProof/>
          <w:szCs w:val="24"/>
        </w:rPr>
        <w:t xml:space="preserve"> (</w:t>
      </w:r>
      <w:r w:rsidR="00E16B6D" w:rsidRPr="00B95C8D">
        <w:rPr>
          <w:rFonts w:ascii="Times New Roman" w:hAnsi="Times New Roman" w:cs="Times New Roman"/>
          <w:noProof/>
          <w:szCs w:val="24"/>
        </w:rPr>
        <w:t>2018)</w:t>
      </w:r>
      <w:r w:rsidR="00E16B6D" w:rsidRPr="00E16B6D">
        <w:rPr>
          <w:rFonts w:ascii="Times New Roman" w:hAnsi="Times New Roman" w:cs="Times New Roman"/>
          <w:szCs w:val="24"/>
        </w:rPr>
        <w:fldChar w:fldCharType="end"/>
      </w:r>
      <w:r>
        <w:rPr>
          <w:rFonts w:ascii="Times New Roman" w:hAnsi="Times New Roman" w:cs="Times New Roman"/>
          <w:szCs w:val="24"/>
        </w:rPr>
        <w:t xml:space="preserve"> señala que </w:t>
      </w:r>
      <w:r w:rsidR="00E16B6D" w:rsidRPr="00E16B6D">
        <w:rPr>
          <w:rFonts w:ascii="Times New Roman" w:hAnsi="Times New Roman" w:cs="Times New Roman"/>
          <w:szCs w:val="24"/>
        </w:rPr>
        <w:t>la fórmula de recuperación de cartera es (deudas * 360) /ventas a crédito. Aunque puede ser desafiante debido a factores económicos, el objetivo es minimizar el riesgo asociado a las cuentas pendientes y acelerar el cobro.</w:t>
      </w:r>
    </w:p>
    <w:p w14:paraId="7C817E23" w14:textId="77777777" w:rsidR="00A82838" w:rsidRDefault="00A82838" w:rsidP="00A630DC">
      <w:pPr>
        <w:spacing w:after="0"/>
        <w:ind w:firstLine="284"/>
        <w:rPr>
          <w:rFonts w:ascii="Times New Roman" w:hAnsi="Times New Roman" w:cs="Times New Roman"/>
          <w:szCs w:val="24"/>
        </w:rPr>
      </w:pPr>
    </w:p>
    <w:p w14:paraId="53B25C08" w14:textId="76C621FB" w:rsidR="00A82838" w:rsidRPr="00A82838" w:rsidRDefault="00A82838" w:rsidP="00A630DC">
      <w:pPr>
        <w:pStyle w:val="Prrafodelista"/>
        <w:numPr>
          <w:ilvl w:val="1"/>
          <w:numId w:val="7"/>
        </w:numPr>
        <w:spacing w:after="0"/>
        <w:ind w:hanging="76"/>
        <w:rPr>
          <w:rFonts w:ascii="Times New Roman" w:hAnsi="Times New Roman" w:cs="Times New Roman"/>
          <w:b/>
          <w:szCs w:val="24"/>
          <w:lang w:val="es-ES"/>
        </w:rPr>
      </w:pPr>
      <w:r>
        <w:rPr>
          <w:rFonts w:ascii="Times New Roman" w:hAnsi="Times New Roman" w:cs="Times New Roman"/>
          <w:b/>
          <w:bCs/>
          <w:szCs w:val="24"/>
          <w:lang w:val="es-ES"/>
        </w:rPr>
        <w:t>Rotación proveedores</w:t>
      </w:r>
    </w:p>
    <w:p w14:paraId="0ED0FFC0" w14:textId="77777777" w:rsidR="00A82838" w:rsidRPr="00E16B6D" w:rsidRDefault="00A82838" w:rsidP="00A630DC">
      <w:pPr>
        <w:pStyle w:val="Prrafodelista"/>
        <w:spacing w:after="0"/>
        <w:ind w:left="360"/>
        <w:rPr>
          <w:rFonts w:ascii="Times New Roman" w:hAnsi="Times New Roman" w:cs="Times New Roman"/>
          <w:b/>
          <w:szCs w:val="24"/>
          <w:lang w:val="es-ES"/>
        </w:rPr>
      </w:pPr>
    </w:p>
    <w:p w14:paraId="2BF73C9C" w14:textId="121A5479" w:rsidR="00E16B6D" w:rsidRDefault="00602A09" w:rsidP="00A630DC">
      <w:pPr>
        <w:spacing w:after="0"/>
        <w:ind w:firstLine="284"/>
        <w:rPr>
          <w:rFonts w:ascii="Times New Roman" w:hAnsi="Times New Roman" w:cs="Times New Roman"/>
          <w:b/>
          <w:szCs w:val="24"/>
          <w:lang w:val="es-ES"/>
        </w:rPr>
      </w:pPr>
      <w:r>
        <w:rPr>
          <w:rFonts w:ascii="Times New Roman" w:hAnsi="Times New Roman" w:cs="Times New Roman"/>
          <w:szCs w:val="24"/>
        </w:rPr>
        <w:fldChar w:fldCharType="begin" w:fldLock="1"/>
      </w:r>
      <w:r w:rsidR="00A347C2">
        <w:rPr>
          <w:rFonts w:ascii="Times New Roman" w:hAnsi="Times New Roman" w:cs="Times New Roman"/>
          <w:szCs w:val="24"/>
        </w:rPr>
        <w:instrText>ADDIN CSL_CITATION {"citationItems":[{"id":"ITEM-1","itemData":{"author":[{"dropping-particle":"","family":"Garcia","given":"Oscar León","non-dropping-particle":"","parse-names":false,"suffix":""}],"container-title":"Administración Financiera Fundamentos y Aplicaciones","edition":"4","editor":[{"dropping-particle":"","family":"Oscar León Garcia","given":"","non-dropping-particle":"","parse-names":false,"suffix":""}],"id":"ITEM-1","issued":{"date-parts":[["2009"]]},"page":"362","title":"ANÁLISIS DEL CAPITAL DE TRABAJO Y PALANCA DE CRECIMIENTO PDC","type":"chapter"},"uris":["http://www.mendeley.com/documents/?uuid=dad96477-b071-4064-8dda-653fb6e29207"]}],"mendeley":{"formattedCitation":"(Garcia, 2009)","plainTextFormattedCitation":"(Garcia, 2009)","previouslyFormattedCitation":"(Garcia, 2009)"},"properties":{"noteIndex":0},"schema":"https://github.com/citation-style-language/schema/raw/master/csl-citation.json"}</w:instrText>
      </w:r>
      <w:r>
        <w:rPr>
          <w:rFonts w:ascii="Times New Roman" w:hAnsi="Times New Roman" w:cs="Times New Roman"/>
          <w:szCs w:val="24"/>
        </w:rPr>
        <w:fldChar w:fldCharType="separate"/>
      </w:r>
      <w:r w:rsidRPr="00602A09">
        <w:rPr>
          <w:rFonts w:ascii="Times New Roman" w:hAnsi="Times New Roman" w:cs="Times New Roman"/>
          <w:noProof/>
          <w:szCs w:val="24"/>
        </w:rPr>
        <w:t>Garcia</w:t>
      </w:r>
      <w:r w:rsidR="004C2E06">
        <w:rPr>
          <w:rFonts w:ascii="Times New Roman" w:hAnsi="Times New Roman" w:cs="Times New Roman"/>
          <w:noProof/>
          <w:szCs w:val="24"/>
        </w:rPr>
        <w:t xml:space="preserve"> (</w:t>
      </w:r>
      <w:r w:rsidRPr="00602A09">
        <w:rPr>
          <w:rFonts w:ascii="Times New Roman" w:hAnsi="Times New Roman" w:cs="Times New Roman"/>
          <w:noProof/>
          <w:szCs w:val="24"/>
        </w:rPr>
        <w:t>2009)</w:t>
      </w:r>
      <w:r>
        <w:rPr>
          <w:rFonts w:ascii="Times New Roman" w:hAnsi="Times New Roman" w:cs="Times New Roman"/>
          <w:szCs w:val="24"/>
        </w:rPr>
        <w:fldChar w:fldCharType="end"/>
      </w:r>
      <w:r w:rsidR="00E16B6D" w:rsidRPr="00E16B6D">
        <w:rPr>
          <w:rFonts w:ascii="Times New Roman" w:hAnsi="Times New Roman" w:cs="Times New Roman"/>
          <w:szCs w:val="24"/>
        </w:rPr>
        <w:t xml:space="preserve"> </w:t>
      </w:r>
      <w:r w:rsidR="0098414B" w:rsidRPr="0098414B">
        <w:rPr>
          <w:rFonts w:ascii="Times New Roman" w:hAnsi="Times New Roman" w:cs="Times New Roman"/>
          <w:szCs w:val="24"/>
        </w:rPr>
        <w:t>menciona que las cuentas por pagar a proveedores de bienes y s</w:t>
      </w:r>
      <w:r w:rsidR="0098414B">
        <w:rPr>
          <w:rFonts w:ascii="Times New Roman" w:hAnsi="Times New Roman" w:cs="Times New Roman"/>
          <w:szCs w:val="24"/>
        </w:rPr>
        <w:t xml:space="preserve">ervicios, </w:t>
      </w:r>
      <w:r w:rsidR="0098414B" w:rsidRPr="0098414B">
        <w:rPr>
          <w:rFonts w:ascii="Times New Roman" w:hAnsi="Times New Roman" w:cs="Times New Roman"/>
          <w:szCs w:val="24"/>
        </w:rPr>
        <w:t>son partidas del pasivo corriente que tienen una relación causa-efecto directa con lo</w:t>
      </w:r>
      <w:r w:rsidR="0098414B">
        <w:rPr>
          <w:rFonts w:ascii="Times New Roman" w:hAnsi="Times New Roman" w:cs="Times New Roman"/>
          <w:szCs w:val="24"/>
        </w:rPr>
        <w:t xml:space="preserve">s ingresos operativos o ventas. </w:t>
      </w:r>
      <w:r w:rsidR="00A347C2">
        <w:rPr>
          <w:rFonts w:ascii="Times New Roman" w:hAnsi="Times New Roman" w:cs="Times New Roman"/>
          <w:szCs w:val="24"/>
        </w:rPr>
        <w:fldChar w:fldCharType="begin" w:fldLock="1"/>
      </w:r>
      <w:r w:rsidR="00F66C7F">
        <w:rPr>
          <w:rFonts w:ascii="Times New Roman" w:hAnsi="Times New Roman" w:cs="Times New Roman"/>
          <w:szCs w:val="24"/>
        </w:rPr>
        <w:instrText>ADDIN CSL_CITATION {"citationItems":[{"id":"ITEM-1","itemData":{"DOI":"10.33890/innova.v5.n2.2020.1193","abstract":"Este trabajo tiene como objetivo presentar el análisis financiero de la empresa ecuatoriana COLINEAL CORPORATION CIA LTDA, a través de la aplicación de indicadores financieros de liquidez, rentabilidad, endeudamiento y generación de valor, que permita mejorar la toma de decisiones en la gestión de operación, inversión y financiamiento. Así mismo, para cumplir con lo propuesto se empleó una metodología con enfoque mixto, argumentada con teorías de autores sobre los temas financieros, la investigación es tipo explicativa-longitudinal debido al análisis comparativo de los estados financieros que se obtiene de la superintendencia de compañía de valores y seguros, contrastando con el comportamiento del entorno macroeconómico cambiante a los que se expone el sector manufacturero del Ecuador, incidiendo en el rendimiento financiero de las empresas. Como resultado del comportamiento financiero es evaluar la generación de valor que permita la creación de ventajas competitivas para una administración financiera eficiente, que impacta en el crecimiento futuro de la empresa.","author":[{"dropping-particle":"","family":"Carchi Arias","given":"Kenia Lizzeth","non-dropping-particle":"","parse-names":false,"suffix":""},{"dropping-particle":"","family":"Crespo García","given":"Marjorie Katherine","non-dropping-particle":"","parse-names":false,"suffix":""},{"dropping-particle":"","family":"González Malla","given":"Susana Emperatriz","non-dropping-particle":"","parse-names":false,"suffix":""},{"dropping-particle":"","family":"Romero Romero","given":"Eddy Javier","non-dropping-particle":"","parse-names":false,"suffix":""}],"container-title":"INNOVA Research Journal","id":"ITEM-1","issue":"2","issued":{"date-parts":[["2020"]]},"page":"26-50","title":"Índices Financieros, La Clave De La Finanza Administrativa Aplicada a Una Empresa Manufacturera.","type":"article-journal","volume":"5"},"uris":["http://www.mendeley.com/documents/?uuid=e2ba21f2-3403-41a4-8bdc-85bfb93acf30"]}],"mendeley":{"formattedCitation":"(Carchi Arias et al., 2020)","plainTextFormattedCitation":"(Carchi Arias et al., 2020)","previouslyFormattedCitation":"(Carchi Arias et al., 2020)"},"properties":{"noteIndex":0},"schema":"https://github.com/citation-style-language/schema/raw/master/csl-citation.json"}</w:instrText>
      </w:r>
      <w:r w:rsidR="00A347C2">
        <w:rPr>
          <w:rFonts w:ascii="Times New Roman" w:hAnsi="Times New Roman" w:cs="Times New Roman"/>
          <w:szCs w:val="24"/>
        </w:rPr>
        <w:fldChar w:fldCharType="separate"/>
      </w:r>
      <w:r w:rsidR="00A347C2" w:rsidRPr="00A347C2">
        <w:rPr>
          <w:rFonts w:ascii="Times New Roman" w:hAnsi="Times New Roman" w:cs="Times New Roman"/>
          <w:noProof/>
          <w:szCs w:val="24"/>
        </w:rPr>
        <w:t xml:space="preserve">Carchi Arias </w:t>
      </w:r>
      <w:r w:rsidR="00A347C2" w:rsidRPr="0014344A">
        <w:rPr>
          <w:rFonts w:ascii="Times New Roman" w:hAnsi="Times New Roman" w:cs="Times New Roman"/>
          <w:i/>
          <w:iCs/>
          <w:noProof/>
          <w:szCs w:val="24"/>
        </w:rPr>
        <w:t>et al.</w:t>
      </w:r>
      <w:r w:rsidR="004C2E06">
        <w:rPr>
          <w:rFonts w:ascii="Times New Roman" w:hAnsi="Times New Roman" w:cs="Times New Roman"/>
          <w:noProof/>
          <w:szCs w:val="24"/>
        </w:rPr>
        <w:t xml:space="preserve"> (</w:t>
      </w:r>
      <w:r w:rsidR="00A347C2" w:rsidRPr="00A347C2">
        <w:rPr>
          <w:rFonts w:ascii="Times New Roman" w:hAnsi="Times New Roman" w:cs="Times New Roman"/>
          <w:noProof/>
          <w:szCs w:val="24"/>
        </w:rPr>
        <w:t>2020)</w:t>
      </w:r>
      <w:r w:rsidR="00A347C2">
        <w:rPr>
          <w:rFonts w:ascii="Times New Roman" w:hAnsi="Times New Roman" w:cs="Times New Roman"/>
          <w:szCs w:val="24"/>
        </w:rPr>
        <w:fldChar w:fldCharType="end"/>
      </w:r>
      <w:r w:rsidR="004C2E06">
        <w:rPr>
          <w:rFonts w:ascii="Times New Roman" w:hAnsi="Times New Roman" w:cs="Times New Roman"/>
          <w:szCs w:val="24"/>
        </w:rPr>
        <w:t xml:space="preserve"> señala que </w:t>
      </w:r>
      <w:r w:rsidR="004C2E06" w:rsidRPr="00E16B6D">
        <w:rPr>
          <w:rFonts w:ascii="Times New Roman" w:hAnsi="Times New Roman" w:cs="Times New Roman"/>
          <w:szCs w:val="24"/>
        </w:rPr>
        <w:t>la rotación de proveedores</w:t>
      </w:r>
      <w:r w:rsidR="004C2E06">
        <w:rPr>
          <w:rFonts w:ascii="Times New Roman" w:hAnsi="Times New Roman" w:cs="Times New Roman"/>
          <w:szCs w:val="24"/>
        </w:rPr>
        <w:t xml:space="preserve"> se refiere a la cantidad de veces </w:t>
      </w:r>
      <w:r w:rsidR="00E16B6D" w:rsidRPr="00E16B6D">
        <w:rPr>
          <w:rFonts w:ascii="Times New Roman" w:hAnsi="Times New Roman" w:cs="Times New Roman"/>
          <w:szCs w:val="24"/>
        </w:rPr>
        <w:t xml:space="preserve">que se utilizan los recursos líquidos de la empresa para pagar a los proveedores. La mayor cantidad de veces indica una mayor eficiencia en el pago a los proveedores. La determinación de este indicador debe ajustarse </w:t>
      </w:r>
      <w:r w:rsidR="00F66C7F">
        <w:rPr>
          <w:rFonts w:ascii="Times New Roman" w:hAnsi="Times New Roman" w:cs="Times New Roman"/>
          <w:szCs w:val="24"/>
        </w:rPr>
        <w:t xml:space="preserve">al comportamiento inflacionario, </w:t>
      </w:r>
      <w:r w:rsidR="00F66C7F">
        <w:rPr>
          <w:rFonts w:ascii="Times New Roman" w:hAnsi="Times New Roman" w:cs="Times New Roman"/>
          <w:szCs w:val="24"/>
        </w:rPr>
        <w:fldChar w:fldCharType="begin" w:fldLock="1"/>
      </w:r>
      <w:r w:rsidR="00853348">
        <w:rPr>
          <w:rFonts w:ascii="Times New Roman" w:hAnsi="Times New Roman" w:cs="Times New Roman"/>
          <w:szCs w:val="24"/>
        </w:rPr>
        <w:instrText>ADDIN CSL_CITATION {"citationItems":[{"id":"ITEM-1","itemData":{"ISSN":"1989-9300","abstract":"En medio de continuas trasformaciones que sufre la economía mundial, como consecuencia de los efectos indeseables de la crisis financiera que atraviesa el mundo, se exige mayor grado de eficiencia y competitividad, imponiéndose la necesidad de que las empresas decidan y administren su capital de trabajo. Esta investigación se realizó en una Empresa de Materiales de la Construcción, con el objetivo de: aplicar técnicas financieras en la administración del capital de trabajo en una empresa de materiales de la construcción, para una correcta administración financiera. TLATEMOANI,","author":[{"dropping-particle":"","family":"Jimenez","given":"Felix","non-dropping-particle":"","parse-names":false,"suffix":""},{"dropping-particle":"","family":"Ramirez","given":"Carmen","non-dropping-particle":"","parse-names":false,"suffix":""},{"dropping-particle":"","family":"Leyva","given":"Leydis","non-dropping-particle":"","parse-names":false,"suffix":""}],"container-title":"Tlatemoani","id":"ITEM-1","issue":"30","issued":{"date-parts":[["2019"]]},"page":"151","title":"La administración del capital de trabajo en una empresa de materiales de la construcción","type":"article-journal","volume":"30"},"uris":["http://www.mendeley.com/documents/?uuid=a1053b6c-8660-4e0a-87db-190c62561b7e"]}],"mendeley":{"formattedCitation":"(Jimenez et al., 2019)","plainTextFormattedCitation":"(Jimenez et al., 2019)","previouslyFormattedCitation":"(Jimenez et al., 2019)"},"properties":{"noteIndex":0},"schema":"https://github.com/citation-style-language/schema/raw/master/csl-citation.json"}</w:instrText>
      </w:r>
      <w:r w:rsidR="00F66C7F">
        <w:rPr>
          <w:rFonts w:ascii="Times New Roman" w:hAnsi="Times New Roman" w:cs="Times New Roman"/>
          <w:szCs w:val="24"/>
        </w:rPr>
        <w:fldChar w:fldCharType="separate"/>
      </w:r>
      <w:r w:rsidR="00F66C7F" w:rsidRPr="00F66C7F">
        <w:rPr>
          <w:rFonts w:ascii="Times New Roman" w:hAnsi="Times New Roman" w:cs="Times New Roman"/>
          <w:noProof/>
          <w:szCs w:val="24"/>
        </w:rPr>
        <w:t xml:space="preserve">(Jimenez </w:t>
      </w:r>
      <w:r w:rsidR="00F66C7F" w:rsidRPr="0014344A">
        <w:rPr>
          <w:rFonts w:ascii="Times New Roman" w:hAnsi="Times New Roman" w:cs="Times New Roman"/>
          <w:i/>
          <w:iCs/>
          <w:noProof/>
          <w:szCs w:val="24"/>
        </w:rPr>
        <w:t>et al.</w:t>
      </w:r>
      <w:r w:rsidR="00F66C7F" w:rsidRPr="00F66C7F">
        <w:rPr>
          <w:rFonts w:ascii="Times New Roman" w:hAnsi="Times New Roman" w:cs="Times New Roman"/>
          <w:noProof/>
          <w:szCs w:val="24"/>
        </w:rPr>
        <w:t>, 2019)</w:t>
      </w:r>
      <w:r w:rsidR="00F66C7F">
        <w:rPr>
          <w:rFonts w:ascii="Times New Roman" w:hAnsi="Times New Roman" w:cs="Times New Roman"/>
          <w:szCs w:val="24"/>
        </w:rPr>
        <w:fldChar w:fldCharType="end"/>
      </w:r>
      <w:r w:rsidR="00F66C7F">
        <w:rPr>
          <w:rFonts w:ascii="Times New Roman" w:hAnsi="Times New Roman" w:cs="Times New Roman"/>
          <w:szCs w:val="24"/>
        </w:rPr>
        <w:t>.</w:t>
      </w:r>
      <w:r w:rsidR="004C2E06">
        <w:rPr>
          <w:rFonts w:ascii="Times New Roman" w:hAnsi="Times New Roman" w:cs="Times New Roman"/>
          <w:szCs w:val="24"/>
        </w:rPr>
        <w:t xml:space="preserve"> </w:t>
      </w:r>
    </w:p>
    <w:p w14:paraId="1B0FB153" w14:textId="77777777" w:rsidR="00A630DC" w:rsidRDefault="00A630DC" w:rsidP="00A630DC">
      <w:pPr>
        <w:spacing w:after="0"/>
        <w:ind w:firstLine="284"/>
        <w:rPr>
          <w:rFonts w:ascii="Times New Roman" w:hAnsi="Times New Roman" w:cs="Times New Roman"/>
          <w:bCs/>
          <w:szCs w:val="24"/>
          <w:lang w:val="es-ES"/>
        </w:rPr>
      </w:pPr>
    </w:p>
    <w:p w14:paraId="44ACC5FB" w14:textId="77777777" w:rsidR="00DF2D52" w:rsidRDefault="00DF2D52" w:rsidP="00A630DC">
      <w:pPr>
        <w:spacing w:after="0"/>
        <w:ind w:firstLine="284"/>
        <w:rPr>
          <w:rFonts w:ascii="Times New Roman" w:hAnsi="Times New Roman" w:cs="Times New Roman"/>
          <w:bCs/>
          <w:szCs w:val="24"/>
          <w:lang w:val="es-ES"/>
        </w:rPr>
      </w:pPr>
    </w:p>
    <w:p w14:paraId="6B72BEE3" w14:textId="77777777" w:rsidR="00DF2D52" w:rsidRDefault="00DF2D52" w:rsidP="00A630DC">
      <w:pPr>
        <w:spacing w:after="0"/>
        <w:ind w:firstLine="284"/>
        <w:rPr>
          <w:rFonts w:ascii="Times New Roman" w:hAnsi="Times New Roman" w:cs="Times New Roman"/>
          <w:bCs/>
          <w:szCs w:val="24"/>
          <w:lang w:val="es-ES"/>
        </w:rPr>
      </w:pPr>
    </w:p>
    <w:p w14:paraId="54355442" w14:textId="5FD7823C" w:rsidR="001D6CE2" w:rsidRPr="00E16B6D" w:rsidRDefault="001D6CE2" w:rsidP="00A630DC">
      <w:pPr>
        <w:pStyle w:val="Prrafodelista"/>
        <w:numPr>
          <w:ilvl w:val="1"/>
          <w:numId w:val="7"/>
        </w:numPr>
        <w:spacing w:after="0"/>
        <w:ind w:hanging="76"/>
        <w:rPr>
          <w:rFonts w:ascii="Times New Roman" w:hAnsi="Times New Roman" w:cs="Times New Roman"/>
          <w:b/>
          <w:szCs w:val="24"/>
          <w:lang w:val="es-ES"/>
        </w:rPr>
      </w:pPr>
      <w:r>
        <w:rPr>
          <w:rFonts w:ascii="Times New Roman" w:hAnsi="Times New Roman" w:cs="Times New Roman"/>
          <w:b/>
          <w:bCs/>
          <w:szCs w:val="24"/>
          <w:lang w:val="es-ES"/>
        </w:rPr>
        <w:lastRenderedPageBreak/>
        <w:t>Indicadores de rentabilidad</w:t>
      </w:r>
    </w:p>
    <w:p w14:paraId="7B067302" w14:textId="77777777" w:rsidR="00E16B6D" w:rsidRDefault="00E16B6D" w:rsidP="00A630DC">
      <w:pPr>
        <w:spacing w:after="0"/>
        <w:ind w:firstLine="284"/>
        <w:rPr>
          <w:rFonts w:ascii="Times New Roman" w:hAnsi="Times New Roman" w:cs="Times New Roman"/>
          <w:szCs w:val="24"/>
        </w:rPr>
      </w:pPr>
    </w:p>
    <w:p w14:paraId="67B7F063" w14:textId="7DAEB420" w:rsidR="001D6CE2" w:rsidRPr="001D6CE2" w:rsidRDefault="001D6CE2" w:rsidP="00A630DC">
      <w:pPr>
        <w:spacing w:after="0"/>
        <w:ind w:firstLine="284"/>
        <w:rPr>
          <w:rFonts w:ascii="Times New Roman" w:hAnsi="Times New Roman" w:cs="Times New Roman"/>
          <w:szCs w:val="24"/>
        </w:rPr>
      </w:pPr>
      <w:r w:rsidRPr="001D6CE2">
        <w:rPr>
          <w:rFonts w:ascii="Times New Roman" w:hAnsi="Times New Roman" w:cs="Times New Roman"/>
          <w:szCs w:val="24"/>
        </w:rPr>
        <w:t>La rentabilidad de una organización se basa en las utilidades o beneficios que se generaron con los activos que se poseen durante el ejercicio económico. Todo inversionista tiene la expectativa de que la empresa genere ganancias, por lo que los activos son cruciales para su adquisición. Sin embargo, tener una gran cantidad de estos activos no g</w:t>
      </w:r>
      <w:r w:rsidR="00853348">
        <w:rPr>
          <w:rFonts w:ascii="Times New Roman" w:hAnsi="Times New Roman" w:cs="Times New Roman"/>
          <w:szCs w:val="24"/>
        </w:rPr>
        <w:t xml:space="preserve">arantiza una ganancia efectiva, </w:t>
      </w:r>
      <w:r w:rsidR="00853348">
        <w:rPr>
          <w:rFonts w:ascii="Times New Roman" w:hAnsi="Times New Roman" w:cs="Times New Roman"/>
          <w:szCs w:val="24"/>
        </w:rPr>
        <w:fldChar w:fldCharType="begin" w:fldLock="1"/>
      </w:r>
      <w:r w:rsidR="008E2870">
        <w:rPr>
          <w:rFonts w:ascii="Times New Roman" w:hAnsi="Times New Roman" w:cs="Times New Roman"/>
          <w:szCs w:val="24"/>
        </w:rPr>
        <w:instrText>ADDIN CSL_CITATION {"citationItems":[{"id":"ITEM-1","itemData":{"DOI":"10.54198/innova07.05","ISSN":"2619-6328","abstract":"El presente artículo tiene por objeto determinar la relación entre la planeación financiera y rentabilidad en empresas prestadoras de servicios de Bombeo Electrosumergible en el Campo Moporo de PDVSA, estado Zulia, Venezuela. Para ello, se llevó a cabo una investigación descriptiva, correlacional con diseño no experimental de campo y transeccional, apoyada en la encuesta como instrumento la cual fue aplicada a diferentes personas en el área financiera y gerencial de las empresas Baker Hughes a GE Company y Schlumberger. La investigación arrojó como resultado que las empresas mencionadas anteriormente consideran el presupuesto de ingresos y egresos en su planificación, sin embargo, tienen problemas en considerar el presupuesto de efectivo al no poder controlar la cantidad que requieren para afrontar las necesidades ordinarias de recursos y no poder incluir las entradas esperadas de efectivo para el periodo financiero especifico, además se concluye que efectivamente las empresas consideran el presupuesto de capital y presupuesto de utilidades para elaborar los planes financieros a largo plazo, del mismo modo se observa que el margen de utilidades y la rotación de activos son calculados por las empresas para el cálculo de la rentabilidad económica, del mismo modo tanto el margen de utilidades como la rotación de activos son estudiados para determinar la rentabilidad financiera. Finalmente se obtuvo que la planeación financiera y la rentabilidad tienen una relación débil en el presente estudio con un valore de correlación de Pearson de 0,36.","author":[{"dropping-particle":"","family":"Gámez Pitre","given":"Rodrigo Daniel","non-dropping-particle":"","parse-names":false,"suffix":""},{"dropping-particle":"","family":"Palma Cardoso","given":"Elizabeth","non-dropping-particle":"","parse-names":false,"suffix":""},{"dropping-particle":"","family":"Beltrán Villalobos","given":"Luis Gerardo","non-dropping-particle":"","parse-names":false,"suffix":""}],"container-title":"Revista Innova Itfip","id":"ITEM-1","issue":"1","issued":{"date-parts":[["2020"]]},"page":"78-87","title":"Planeación y rentabilidad financiera en empresas prestadoras de servicios de bombeo electrosumergible en PDVSA, venezuela","type":"article-journal","volume":"7"},"uris":["http://www.mendeley.com/documents/?uuid=30c79aa0-4545-48b0-9c90-6f3e1fc60558"]}],"mendeley":{"formattedCitation":"(Gámez Pitre et al., 2020)","plainTextFormattedCitation":"(Gámez Pitre et al., 2020)","previouslyFormattedCitation":"(Gámez Pitre et al., 2020)"},"properties":{"noteIndex":0},"schema":"https://github.com/citation-style-language/schema/raw/master/csl-citation.json"}</w:instrText>
      </w:r>
      <w:r w:rsidR="00853348">
        <w:rPr>
          <w:rFonts w:ascii="Times New Roman" w:hAnsi="Times New Roman" w:cs="Times New Roman"/>
          <w:szCs w:val="24"/>
        </w:rPr>
        <w:fldChar w:fldCharType="separate"/>
      </w:r>
      <w:r w:rsidR="00853348" w:rsidRPr="00853348">
        <w:rPr>
          <w:rFonts w:ascii="Times New Roman" w:hAnsi="Times New Roman" w:cs="Times New Roman"/>
          <w:noProof/>
          <w:szCs w:val="24"/>
        </w:rPr>
        <w:t xml:space="preserve">(Gámez Pitre </w:t>
      </w:r>
      <w:r w:rsidR="00853348" w:rsidRPr="0014344A">
        <w:rPr>
          <w:rFonts w:ascii="Times New Roman" w:hAnsi="Times New Roman" w:cs="Times New Roman"/>
          <w:i/>
          <w:iCs/>
          <w:noProof/>
          <w:szCs w:val="24"/>
        </w:rPr>
        <w:t>et al.</w:t>
      </w:r>
      <w:r w:rsidR="00853348" w:rsidRPr="00853348">
        <w:rPr>
          <w:rFonts w:ascii="Times New Roman" w:hAnsi="Times New Roman" w:cs="Times New Roman"/>
          <w:noProof/>
          <w:szCs w:val="24"/>
        </w:rPr>
        <w:t>, 2020)</w:t>
      </w:r>
      <w:r w:rsidR="00853348">
        <w:rPr>
          <w:rFonts w:ascii="Times New Roman" w:hAnsi="Times New Roman" w:cs="Times New Roman"/>
          <w:szCs w:val="24"/>
        </w:rPr>
        <w:fldChar w:fldCharType="end"/>
      </w:r>
      <w:r w:rsidR="00853348">
        <w:rPr>
          <w:rFonts w:ascii="Times New Roman" w:hAnsi="Times New Roman" w:cs="Times New Roman"/>
          <w:szCs w:val="24"/>
        </w:rPr>
        <w:t>.</w:t>
      </w:r>
      <w:r w:rsidR="00DF2D52">
        <w:rPr>
          <w:rFonts w:ascii="Times New Roman" w:hAnsi="Times New Roman" w:cs="Times New Roman"/>
          <w:szCs w:val="24"/>
        </w:rPr>
        <w:t xml:space="preserve"> Para </w:t>
      </w:r>
      <w:r w:rsidR="008E2870">
        <w:rPr>
          <w:rFonts w:ascii="Times New Roman" w:hAnsi="Times New Roman" w:cs="Times New Roman"/>
          <w:szCs w:val="24"/>
        </w:rPr>
        <w:fldChar w:fldCharType="begin" w:fldLock="1"/>
      </w:r>
      <w:r w:rsidR="00D64F2F">
        <w:rPr>
          <w:rFonts w:ascii="Times New Roman" w:hAnsi="Times New Roman" w:cs="Times New Roman"/>
          <w:szCs w:val="24"/>
        </w:rPr>
        <w:instrText>ADDIN CSL_CITATION {"citationItems":[{"id":"ITEM-1","itemData":{"DOI":"10.3856/vol44-issue5-fulltext-19","ISSN":"0718560X","abstract":"This cost-benefit analysis of three industrial bottom gillnet fisheries that operated in SE/S Brazil during 2009, had a double purpose: to determine the economic and financial performance of the average gillnet vessel in the coastal whitemouth croaker (Micropogonias furnieri), the gulf hake (Urophycis mystacea) and monkfish (Lophius gastrophysus) fisheries and to determine the expected effects of applying fishing gear regulation (MPA/MMA Nº12/2012) on the performance of the whitemouth croaker fishing fleet. Crucial to this cost-benefit analysis was to collect data through interviews to vessel owners on these fishing fleets cost structures and their fishing costs levels. Three economic and financial performance indicators were used to assess the condition of these fishing fleets: Net Present Value (NPV), Internal Rate of Return (IRR) and Profitability Index (PI). Results showed different costs levels between fishing fleets but, similar relative importance of cost components across fleets: with running costs being the highest, followed by vessel and labor costs in order of importance, except in the gulf hake fishing fleet. Results from the economic and financial performance assessment showed that these three fishing fleets were in a fragile economic and financial condition, all having IRRs lower that 20% and PIs of 1.7 or lower, too low for a high risk activity like fisheries. This problem been more acute in the whitemouth croaker fishing fleet with the lowest IRR (12.11%) and PI (1.2). Potential effects of applying the fishing regulation showed marginal improvements in the fragile condition of the whitemouth croaker fishing fleet.","author":[{"dropping-particle":"","family":"Pio","given":"Vanessa Mafra","non-dropping-particle":"","parse-names":false,"suffix":""},{"dropping-particle":"","family":"Poblete","given":"Exequiel González","non-dropping-particle":"","parse-names":false,"suffix":""},{"dropping-particle":"","family":"Pezzuto","given":"Paulo Ricardo","non-dropping-particle":"","parse-names":false,"suffix":""},{"dropping-particle":"","family":"Wahrlich","given":"Roberto","non-dropping-particle":"","parse-names":false,"suffix":""}],"container-title":"Latin American Journal of Aquatic Research","id":"ITEM-1","issue":"5","issued":{"date-parts":[["2016"]]},"page":"1096-1115","title":"Análisis costo-beneficio de tres pesquerías de enmalle en Santa Catarina, Brasil: Contribuyendo a las decisiones de manejo pesquero","type":"article-journal","volume":"44"},"uris":["http://www.mendeley.com/documents/?uuid=6aec3946-ac40-449b-957d-5be349908f26"]}],"mendeley":{"formattedCitation":"(Pio et al., 2016)","plainTextFormattedCitation":"(Pio et al., 2016)","previouslyFormattedCitation":"(Pio et al., 2016)"},"properties":{"noteIndex":0},"schema":"https://github.com/citation-style-language/schema/raw/master/csl-citation.json"}</w:instrText>
      </w:r>
      <w:r w:rsidR="008E2870">
        <w:rPr>
          <w:rFonts w:ascii="Times New Roman" w:hAnsi="Times New Roman" w:cs="Times New Roman"/>
          <w:szCs w:val="24"/>
        </w:rPr>
        <w:fldChar w:fldCharType="separate"/>
      </w:r>
      <w:r w:rsidR="008E2870" w:rsidRPr="008E2870">
        <w:rPr>
          <w:rFonts w:ascii="Times New Roman" w:hAnsi="Times New Roman" w:cs="Times New Roman"/>
          <w:noProof/>
          <w:szCs w:val="24"/>
        </w:rPr>
        <w:t xml:space="preserve">Pio </w:t>
      </w:r>
      <w:r w:rsidR="008E2870" w:rsidRPr="0014344A">
        <w:rPr>
          <w:rFonts w:ascii="Times New Roman" w:hAnsi="Times New Roman" w:cs="Times New Roman"/>
          <w:i/>
          <w:iCs/>
          <w:noProof/>
          <w:szCs w:val="24"/>
        </w:rPr>
        <w:t>et al.</w:t>
      </w:r>
      <w:r w:rsidR="00C12676">
        <w:rPr>
          <w:rFonts w:ascii="Times New Roman" w:hAnsi="Times New Roman" w:cs="Times New Roman"/>
          <w:noProof/>
          <w:szCs w:val="24"/>
        </w:rPr>
        <w:t xml:space="preserve"> (</w:t>
      </w:r>
      <w:r w:rsidR="008E2870" w:rsidRPr="008E2870">
        <w:rPr>
          <w:rFonts w:ascii="Times New Roman" w:hAnsi="Times New Roman" w:cs="Times New Roman"/>
          <w:noProof/>
          <w:szCs w:val="24"/>
        </w:rPr>
        <w:t>2016)</w:t>
      </w:r>
      <w:r w:rsidR="008E2870">
        <w:rPr>
          <w:rFonts w:ascii="Times New Roman" w:hAnsi="Times New Roman" w:cs="Times New Roman"/>
          <w:szCs w:val="24"/>
        </w:rPr>
        <w:fldChar w:fldCharType="end"/>
      </w:r>
      <w:r w:rsidR="008E2870">
        <w:rPr>
          <w:rFonts w:ascii="Times New Roman" w:hAnsi="Times New Roman" w:cs="Times New Roman"/>
          <w:szCs w:val="24"/>
        </w:rPr>
        <w:t xml:space="preserve"> </w:t>
      </w:r>
      <w:r w:rsidR="002743B1">
        <w:rPr>
          <w:rFonts w:ascii="Times New Roman" w:hAnsi="Times New Roman" w:cs="Times New Roman"/>
          <w:szCs w:val="24"/>
        </w:rPr>
        <w:t>l</w:t>
      </w:r>
      <w:r w:rsidR="002743B1" w:rsidRPr="002743B1">
        <w:rPr>
          <w:rFonts w:ascii="Times New Roman" w:hAnsi="Times New Roman" w:cs="Times New Roman"/>
          <w:szCs w:val="24"/>
        </w:rPr>
        <w:t>a rentabilidad indica los resultados financieros que la empresa considera relevantes para la toma de decisiones sobre la deuda.</w:t>
      </w:r>
    </w:p>
    <w:p w14:paraId="5D4B226F" w14:textId="3A36AAE1" w:rsidR="001D6CE2" w:rsidRPr="001D6CE2" w:rsidRDefault="00B919EC" w:rsidP="00A630DC">
      <w:pPr>
        <w:spacing w:after="0"/>
        <w:ind w:firstLine="284"/>
        <w:rPr>
          <w:rFonts w:ascii="Times New Roman" w:hAnsi="Times New Roman" w:cs="Times New Roman"/>
          <w:szCs w:val="24"/>
        </w:rPr>
      </w:pPr>
      <w:r>
        <w:rPr>
          <w:rFonts w:ascii="Times New Roman" w:hAnsi="Times New Roman" w:cs="Times New Roman"/>
          <w:szCs w:val="24"/>
        </w:rPr>
        <w:fldChar w:fldCharType="begin" w:fldLock="1"/>
      </w:r>
      <w:r>
        <w:rPr>
          <w:rFonts w:ascii="Times New Roman" w:hAnsi="Times New Roman" w:cs="Times New Roman"/>
          <w:szCs w:val="24"/>
        </w:rPr>
        <w:instrText>ADDIN CSL_CITATION {"citationItems":[{"id":"ITEM-1","itemData":{"ISBN":"0261-4189","ISSN":"10960309","PMID":"942051","abstract":"Conclusions: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training.","author":[{"dropping-particle":"","family":"Cheol S. Eun","given":"Bruce G. Resnick","non-dropping-particle":"","parse-names":false,"suffix":""}],"container-title":"Analytical Biochemistry","id":"ITEM-1","issue":"1","issued":{"date-parts":[["2018"]]},"number-of-pages":"1-5","title":"Administración financiera internacional","type":"book","volume":"11"},"uris":["http://www.mendeley.com/documents/?uuid=f90362a0-804e-4f0c-966f-36eea8e63407"]}],"mendeley":{"formattedCitation":"(Cheol S. Eun, 2018)","plainTextFormattedCitation":"(Cheol S. Eun, 2018)","previouslyFormattedCitation":"(Cheol S. Eun, 2018)"},"properties":{"noteIndex":0},"schema":"https://github.com/citation-style-language/schema/raw/master/csl-citation.json"}</w:instrText>
      </w:r>
      <w:r>
        <w:rPr>
          <w:rFonts w:ascii="Times New Roman" w:hAnsi="Times New Roman" w:cs="Times New Roman"/>
          <w:szCs w:val="24"/>
        </w:rPr>
        <w:fldChar w:fldCharType="separate"/>
      </w:r>
      <w:r w:rsidRPr="00B919EC">
        <w:rPr>
          <w:rFonts w:ascii="Times New Roman" w:hAnsi="Times New Roman" w:cs="Times New Roman"/>
          <w:noProof/>
          <w:szCs w:val="24"/>
        </w:rPr>
        <w:t>Eun</w:t>
      </w:r>
      <w:r w:rsidR="00C12676">
        <w:rPr>
          <w:rFonts w:ascii="Times New Roman" w:hAnsi="Times New Roman" w:cs="Times New Roman"/>
          <w:noProof/>
          <w:szCs w:val="24"/>
        </w:rPr>
        <w:t xml:space="preserve"> (</w:t>
      </w:r>
      <w:r w:rsidRPr="00B919EC">
        <w:rPr>
          <w:rFonts w:ascii="Times New Roman" w:hAnsi="Times New Roman" w:cs="Times New Roman"/>
          <w:noProof/>
          <w:szCs w:val="24"/>
        </w:rPr>
        <w:t>2018)</w:t>
      </w:r>
      <w:r>
        <w:rPr>
          <w:rFonts w:ascii="Times New Roman" w:hAnsi="Times New Roman" w:cs="Times New Roman"/>
          <w:szCs w:val="24"/>
        </w:rPr>
        <w:fldChar w:fldCharType="end"/>
      </w:r>
      <w:r>
        <w:rPr>
          <w:rFonts w:ascii="Times New Roman" w:hAnsi="Times New Roman" w:cs="Times New Roman"/>
          <w:szCs w:val="24"/>
        </w:rPr>
        <w:t xml:space="preserve"> </w:t>
      </w:r>
      <w:r w:rsidR="00DF2D52">
        <w:rPr>
          <w:rFonts w:ascii="Times New Roman" w:hAnsi="Times New Roman" w:cs="Times New Roman"/>
          <w:szCs w:val="24"/>
        </w:rPr>
        <w:t xml:space="preserve">señala que </w:t>
      </w:r>
      <w:r w:rsidR="001D6CE2" w:rsidRPr="001D6CE2">
        <w:rPr>
          <w:rFonts w:ascii="Times New Roman" w:hAnsi="Times New Roman" w:cs="Times New Roman"/>
          <w:szCs w:val="24"/>
        </w:rPr>
        <w:t>la rentabilidad se establece como la medición entre el beneficio generado más los recursos empleados para obtenerlos</w:t>
      </w:r>
      <w:r w:rsidR="00C12676">
        <w:rPr>
          <w:rFonts w:ascii="Times New Roman" w:hAnsi="Times New Roman" w:cs="Times New Roman"/>
          <w:szCs w:val="24"/>
        </w:rPr>
        <w:t xml:space="preserve">. </w:t>
      </w:r>
      <w:r>
        <w:rPr>
          <w:rFonts w:ascii="Times New Roman" w:hAnsi="Times New Roman" w:cs="Times New Roman"/>
          <w:szCs w:val="24"/>
        </w:rPr>
        <w:fldChar w:fldCharType="begin" w:fldLock="1"/>
      </w:r>
      <w:r w:rsidR="00BB3037">
        <w:rPr>
          <w:rFonts w:ascii="Times New Roman" w:hAnsi="Times New Roman" w:cs="Times New Roman"/>
          <w:szCs w:val="24"/>
        </w:rPr>
        <w:instrText>ADDIN CSL_CITATION {"citationItems":[{"id":"ITEM-1","itemData":{"author":[{"dropping-particle":"","family":"Anaya","given":"Hector Ortiz","non-dropping-particle":"","parse-names":false,"suffix":""}],"id":"ITEM-1","issued":{"date-parts":[["2018"]]},"title":"Analisis finanicero aplicado bajo NIIF","type":"book"},"uris":["http://www.mendeley.com/documents/?uuid=17dd43bf-412a-4ad3-83c8-db8946fbdf97"]}],"mendeley":{"formattedCitation":"(Anaya, 2018)","plainTextFormattedCitation":"(Anaya, 2018)","previouslyFormattedCitation":"(Anaya, 2018)"},"properties":{"noteIndex":0},"schema":"https://github.com/citation-style-language/schema/raw/master/csl-citation.json"}</w:instrText>
      </w:r>
      <w:r>
        <w:rPr>
          <w:rFonts w:ascii="Times New Roman" w:hAnsi="Times New Roman" w:cs="Times New Roman"/>
          <w:szCs w:val="24"/>
        </w:rPr>
        <w:fldChar w:fldCharType="separate"/>
      </w:r>
      <w:r w:rsidRPr="00B919EC">
        <w:rPr>
          <w:rFonts w:ascii="Times New Roman" w:hAnsi="Times New Roman" w:cs="Times New Roman"/>
          <w:noProof/>
          <w:szCs w:val="24"/>
        </w:rPr>
        <w:t>Anaya</w:t>
      </w:r>
      <w:r w:rsidR="00C12676">
        <w:rPr>
          <w:rFonts w:ascii="Times New Roman" w:hAnsi="Times New Roman" w:cs="Times New Roman"/>
          <w:noProof/>
          <w:szCs w:val="24"/>
        </w:rPr>
        <w:t xml:space="preserve"> (</w:t>
      </w:r>
      <w:r w:rsidRPr="00B919EC">
        <w:rPr>
          <w:rFonts w:ascii="Times New Roman" w:hAnsi="Times New Roman" w:cs="Times New Roman"/>
          <w:noProof/>
          <w:szCs w:val="24"/>
        </w:rPr>
        <w:t>2018)</w:t>
      </w:r>
      <w:r>
        <w:rPr>
          <w:rFonts w:ascii="Times New Roman" w:hAnsi="Times New Roman" w:cs="Times New Roman"/>
          <w:szCs w:val="24"/>
        </w:rPr>
        <w:fldChar w:fldCharType="end"/>
      </w:r>
      <w:r>
        <w:rPr>
          <w:rFonts w:ascii="Times New Roman" w:hAnsi="Times New Roman" w:cs="Times New Roman"/>
          <w:szCs w:val="24"/>
        </w:rPr>
        <w:t xml:space="preserve"> </w:t>
      </w:r>
      <w:r w:rsidR="001D6CE2" w:rsidRPr="001D6CE2">
        <w:rPr>
          <w:rFonts w:ascii="Times New Roman" w:hAnsi="Times New Roman" w:cs="Times New Roman"/>
          <w:szCs w:val="24"/>
        </w:rPr>
        <w:t xml:space="preserve">define la rentabilidad como la capacidad que tiene la empresa para convertir sus ventas en utilidades, a su vez devolver sobre la inversión. Por su parte Ross </w:t>
      </w:r>
      <w:r w:rsidR="001D6CE2" w:rsidRPr="0014344A">
        <w:rPr>
          <w:rFonts w:ascii="Times New Roman" w:hAnsi="Times New Roman" w:cs="Times New Roman"/>
          <w:i/>
          <w:iCs/>
          <w:szCs w:val="24"/>
        </w:rPr>
        <w:t>et al.</w:t>
      </w:r>
      <w:r w:rsidR="00C12676">
        <w:rPr>
          <w:rFonts w:ascii="Times New Roman" w:hAnsi="Times New Roman" w:cs="Times New Roman"/>
          <w:szCs w:val="24"/>
        </w:rPr>
        <w:t xml:space="preserve"> (</w:t>
      </w:r>
      <w:r w:rsidR="001D6CE2" w:rsidRPr="001D6CE2">
        <w:rPr>
          <w:rFonts w:ascii="Times New Roman" w:hAnsi="Times New Roman" w:cs="Times New Roman"/>
          <w:szCs w:val="24"/>
        </w:rPr>
        <w:t xml:space="preserve">2012), señala que el margen bruto es una medida financiera que indica el porcentaje de ingresos totales de una empresa que queda después de deducir el costo de los bienes o servicios vendidos. Es una indicación de la rentabilidad de la empresa antes de tener en cuenta otros gastos como los gastos operativos y financieros. </w:t>
      </w:r>
    </w:p>
    <w:p w14:paraId="6FEEE563" w14:textId="5E4640EB" w:rsidR="001D6CE2" w:rsidRPr="001D6CE2" w:rsidRDefault="00BB3037" w:rsidP="00A630DC">
      <w:pPr>
        <w:spacing w:after="0"/>
        <w:ind w:firstLine="284"/>
        <w:rPr>
          <w:rFonts w:ascii="Times New Roman" w:hAnsi="Times New Roman" w:cs="Times New Roman"/>
          <w:noProof/>
          <w:szCs w:val="24"/>
        </w:rPr>
      </w:pPr>
      <w:r>
        <w:rPr>
          <w:rFonts w:ascii="Times New Roman" w:hAnsi="Times New Roman" w:cs="Times New Roman"/>
          <w:szCs w:val="24"/>
        </w:rPr>
        <w:fldChar w:fldCharType="begin" w:fldLock="1"/>
      </w:r>
      <w:r w:rsidR="00DB4FE9">
        <w:rPr>
          <w:rFonts w:ascii="Times New Roman" w:hAnsi="Times New Roman" w:cs="Times New Roman"/>
          <w:szCs w:val="24"/>
        </w:rPr>
        <w:instrText>ADDIN CSL_CITATION {"citationItems":[{"id":"ITEM-1","itemData":{"ISBN":"9781604138795","abstract":"riesgo es una medida de la incertidumbre en torno al rendimiento que ganará una inversión. Las inversiones cuyos rendimientos son más inciertos se consideran generalmente más riesgosas.","author":[{"dropping-particle":"","family":"Gitman","given":"Lawrence","non-dropping-particle":"","parse-names":false,"suffix":""},{"dropping-particle":"","family":"Zutter","given":"Chad J.","non-dropping-particle":"","parse-names":false,"suffix":""}],"container-title":"Canadian Psychologist / Psychologie canadienne","id":"ITEM-1","issue":"4","issued":{"date-parts":[["2012"]]},"number-of-pages":"360-360","title":"Prinpios de administración financiera","type":"book","volume":"8a"},"uris":["http://www.mendeley.com/documents/?uuid=01f5b1b0-a938-4ca0-85e5-c8f7798fe617"]}],"mendeley":{"formattedCitation":"(Gitman &amp; Zutter, 2012)","manualFormatting":"(Gitman y Zutter, 2012)","plainTextFormattedCitation":"(Gitman &amp; Zutter, 2012)","previouslyFormattedCitation":"(Gitman &amp; Zutter, 2012)"},"properties":{"noteIndex":0},"schema":"https://github.com/citation-style-language/schema/raw/master/csl-citation.json"}</w:instrText>
      </w:r>
      <w:r>
        <w:rPr>
          <w:rFonts w:ascii="Times New Roman" w:hAnsi="Times New Roman" w:cs="Times New Roman"/>
          <w:szCs w:val="24"/>
        </w:rPr>
        <w:fldChar w:fldCharType="separate"/>
      </w:r>
      <w:r>
        <w:rPr>
          <w:rFonts w:ascii="Times New Roman" w:hAnsi="Times New Roman" w:cs="Times New Roman"/>
          <w:noProof/>
          <w:szCs w:val="24"/>
        </w:rPr>
        <w:t xml:space="preserve">Gitman </w:t>
      </w:r>
      <w:r w:rsidR="00C12676">
        <w:rPr>
          <w:rFonts w:ascii="Times New Roman" w:hAnsi="Times New Roman" w:cs="Times New Roman"/>
          <w:noProof/>
          <w:szCs w:val="24"/>
        </w:rPr>
        <w:t xml:space="preserve">&amp; </w:t>
      </w:r>
      <w:r w:rsidRPr="00BB3037">
        <w:rPr>
          <w:rFonts w:ascii="Times New Roman" w:hAnsi="Times New Roman" w:cs="Times New Roman"/>
          <w:noProof/>
          <w:szCs w:val="24"/>
        </w:rPr>
        <w:t>Zutter</w:t>
      </w:r>
      <w:r w:rsidR="00C12676">
        <w:rPr>
          <w:rFonts w:ascii="Times New Roman" w:hAnsi="Times New Roman" w:cs="Times New Roman"/>
          <w:noProof/>
          <w:szCs w:val="24"/>
        </w:rPr>
        <w:t xml:space="preserve"> (</w:t>
      </w:r>
      <w:r w:rsidRPr="00BB3037">
        <w:rPr>
          <w:rFonts w:ascii="Times New Roman" w:hAnsi="Times New Roman" w:cs="Times New Roman"/>
          <w:noProof/>
          <w:szCs w:val="24"/>
        </w:rPr>
        <w:t>2012)</w:t>
      </w:r>
      <w:r>
        <w:rPr>
          <w:rFonts w:ascii="Times New Roman" w:hAnsi="Times New Roman" w:cs="Times New Roman"/>
          <w:szCs w:val="24"/>
        </w:rPr>
        <w:fldChar w:fldCharType="end"/>
      </w:r>
      <w:r w:rsidR="00C12676">
        <w:rPr>
          <w:rFonts w:ascii="Times New Roman" w:hAnsi="Times New Roman" w:cs="Times New Roman"/>
          <w:szCs w:val="24"/>
        </w:rPr>
        <w:t xml:space="preserve"> </w:t>
      </w:r>
      <w:r w:rsidR="00E7604B" w:rsidRPr="00E7604B">
        <w:rPr>
          <w:rFonts w:ascii="Times New Roman" w:hAnsi="Times New Roman" w:cs="Times New Roman"/>
          <w:szCs w:val="24"/>
        </w:rPr>
        <w:t>cree</w:t>
      </w:r>
      <w:r w:rsidR="00B547BB">
        <w:rPr>
          <w:rFonts w:ascii="Times New Roman" w:hAnsi="Times New Roman" w:cs="Times New Roman"/>
          <w:szCs w:val="24"/>
        </w:rPr>
        <w:t>n</w:t>
      </w:r>
      <w:r w:rsidR="00E7604B" w:rsidRPr="00E7604B">
        <w:rPr>
          <w:rFonts w:ascii="Times New Roman" w:hAnsi="Times New Roman" w:cs="Times New Roman"/>
          <w:szCs w:val="24"/>
        </w:rPr>
        <w:t xml:space="preserve"> que el margen bruto</w:t>
      </w:r>
      <w:r w:rsidR="00E43221">
        <w:rPr>
          <w:rFonts w:ascii="Times New Roman" w:hAnsi="Times New Roman" w:cs="Times New Roman"/>
          <w:szCs w:val="24"/>
        </w:rPr>
        <w:t>,</w:t>
      </w:r>
      <w:r w:rsidR="00E7604B" w:rsidRPr="00E7604B">
        <w:rPr>
          <w:rFonts w:ascii="Times New Roman" w:hAnsi="Times New Roman" w:cs="Times New Roman"/>
          <w:szCs w:val="24"/>
        </w:rPr>
        <w:t xml:space="preserve"> es una medida financiera que representa el porcentaje de ingresos totales que queda después de cubrir los costos directos relacionados con la producción o adquisición de los bienes o servicios que vende una empresa. </w:t>
      </w:r>
      <w:r w:rsidR="001D6CE2" w:rsidRPr="001D6CE2">
        <w:rPr>
          <w:rFonts w:ascii="Times New Roman" w:hAnsi="Times New Roman" w:cs="Times New Roman"/>
          <w:szCs w:val="24"/>
        </w:rPr>
        <w:t>En otras palabras, es la diferencia entre los ingresos y los costos de producción, expresada como un porcentaje de los ingresos totales.</w:t>
      </w:r>
      <w:r w:rsidR="00C12676">
        <w:rPr>
          <w:rFonts w:ascii="Times New Roman" w:hAnsi="Times New Roman" w:cs="Times New Roman"/>
          <w:szCs w:val="24"/>
        </w:rPr>
        <w:t xml:space="preserve"> </w:t>
      </w:r>
      <w:r w:rsidR="00DB4FE9">
        <w:rPr>
          <w:rFonts w:ascii="Times New Roman" w:hAnsi="Times New Roman" w:cs="Times New Roman"/>
          <w:szCs w:val="24"/>
        </w:rPr>
        <w:t xml:space="preserve">Para </w:t>
      </w:r>
      <w:r w:rsidR="00DB4FE9">
        <w:rPr>
          <w:rFonts w:ascii="Times New Roman" w:hAnsi="Times New Roman" w:cs="Times New Roman"/>
          <w:szCs w:val="24"/>
        </w:rPr>
        <w:fldChar w:fldCharType="begin" w:fldLock="1"/>
      </w:r>
      <w:r w:rsidR="00D95DF4">
        <w:rPr>
          <w:rFonts w:ascii="Times New Roman" w:hAnsi="Times New Roman" w:cs="Times New Roman"/>
          <w:szCs w:val="24"/>
        </w:rPr>
        <w:instrText>ADDIN CSL_CITATION {"citationItems":[{"id":"ITEM-1","itemData":{"ISSN":"2539-3669","abstract":"En aras de contar con una información adecuada, pertinente y oportuna, la administración de las organizaciones diseña distintas herramientas, buscando satisfacer sus necesidades de información para la toma de decisiones y con ellas cubrir las etapas del proceso administrativo (planeación, organización, dirección y control). Particularmente la evaluación resulta ser de interés para la administración y otros agentes de interés en las Entidades Sin Ánimo de Lucro, toda vez que con ella se confronta la gestión. En estas entidades, el resultado de su gestión no es distribuido entre sus miembros, sino reinvertido en el desarrollo de su actividad, siendo los excedentes una fuente importante de recursos nuevos; por lo tanto, una adecuada definición de su estructura financiera es vital para garantizar la sostenibilidad de la misma a través del tiempo, incluyendo la propiciación de actividades rentables y la adecuada estimación de capital de trabajo. Se propone entonces evaluar la validez que tiene el presupuesto como herramienta que aporte al análisis financiero de este tipo de entidades, información relevante que le permita una planificación acorde y elementos de juicio para una adecuada evaluación de la gestión adelantada y así se retroalimente.","author":[{"dropping-particle":"","family":"Torres Ochoa","given":"Agustin","non-dropping-particle":"","parse-names":false,"suffix":""},{"dropping-particle":"","family":"Gómez Ortiz","given":"edgar josé","non-dropping-particle":"","parse-names":false,"suffix":""}],"container-title":"Gestión y Desarrollo Libre","id":"ITEM-1","issue":"2","issued":{"date-parts":[["2017"]]},"page":"121-138","title":"Comprensión de la gestión financiera en las entidades sin ánimo de lucro, sustentada desde el presupuesto","type":"article-journal","volume":"1"},"uris":["http://www.mendeley.com/documents/?uuid=cbd880cc-7ba4-4360-b401-b8f8e240c8f1"]}],"mendeley":{"formattedCitation":"(Torres Ochoa &amp; Gómez Ortiz, 2017)","manualFormatting":"(Torres y Gómez, 2017)","plainTextFormattedCitation":"(Torres Ochoa &amp; Gómez Ortiz, 2017)","previouslyFormattedCitation":"(Torres Ochoa &amp; Gómez Ortiz, 2017)"},"properties":{"noteIndex":0},"schema":"https://github.com/citation-style-language/schema/raw/master/csl-citation.json"}</w:instrText>
      </w:r>
      <w:r w:rsidR="00DB4FE9">
        <w:rPr>
          <w:rFonts w:ascii="Times New Roman" w:hAnsi="Times New Roman" w:cs="Times New Roman"/>
          <w:szCs w:val="24"/>
        </w:rPr>
        <w:fldChar w:fldCharType="separate"/>
      </w:r>
      <w:r w:rsidR="00DB4FE9">
        <w:rPr>
          <w:rFonts w:ascii="Times New Roman" w:hAnsi="Times New Roman" w:cs="Times New Roman"/>
          <w:noProof/>
          <w:szCs w:val="24"/>
        </w:rPr>
        <w:t xml:space="preserve">Torres </w:t>
      </w:r>
      <w:r w:rsidR="00C12676">
        <w:rPr>
          <w:rFonts w:ascii="Times New Roman" w:hAnsi="Times New Roman" w:cs="Times New Roman"/>
          <w:noProof/>
          <w:szCs w:val="24"/>
        </w:rPr>
        <w:t>&amp;</w:t>
      </w:r>
      <w:r w:rsidR="00DB4FE9">
        <w:rPr>
          <w:rFonts w:ascii="Times New Roman" w:hAnsi="Times New Roman" w:cs="Times New Roman"/>
          <w:noProof/>
          <w:szCs w:val="24"/>
        </w:rPr>
        <w:t xml:space="preserve"> Gómez</w:t>
      </w:r>
      <w:r w:rsidR="00C12676">
        <w:rPr>
          <w:rFonts w:ascii="Times New Roman" w:hAnsi="Times New Roman" w:cs="Times New Roman"/>
          <w:noProof/>
          <w:szCs w:val="24"/>
        </w:rPr>
        <w:t xml:space="preserve"> (</w:t>
      </w:r>
      <w:r w:rsidR="00DB4FE9" w:rsidRPr="00DB4FE9">
        <w:rPr>
          <w:rFonts w:ascii="Times New Roman" w:hAnsi="Times New Roman" w:cs="Times New Roman"/>
          <w:noProof/>
          <w:szCs w:val="24"/>
        </w:rPr>
        <w:t>2017)</w:t>
      </w:r>
      <w:r w:rsidR="00DB4FE9">
        <w:rPr>
          <w:rFonts w:ascii="Times New Roman" w:hAnsi="Times New Roman" w:cs="Times New Roman"/>
          <w:szCs w:val="24"/>
        </w:rPr>
        <w:fldChar w:fldCharType="end"/>
      </w:r>
      <w:r w:rsidR="001D6CE2" w:rsidRPr="001D6CE2">
        <w:rPr>
          <w:rFonts w:ascii="Times New Roman" w:hAnsi="Times New Roman" w:cs="Times New Roman"/>
          <w:szCs w:val="24"/>
        </w:rPr>
        <w:t xml:space="preserve"> la rentabilidad es el beneficio, lucro, utilidad o ganancia que se obtiene de un recurso que se pone en el desarrollo de una actividad, es la gratificación que se recibe por la inversión.</w:t>
      </w:r>
    </w:p>
    <w:p w14:paraId="02FFAF0C" w14:textId="0E2294B9" w:rsidR="001D6CE2" w:rsidRPr="001D6CE2" w:rsidRDefault="001D6CE2" w:rsidP="00A630DC">
      <w:pPr>
        <w:spacing w:after="0"/>
        <w:ind w:firstLine="284"/>
        <w:rPr>
          <w:rFonts w:ascii="Times New Roman" w:hAnsi="Times New Roman" w:cs="Times New Roman"/>
          <w:szCs w:val="24"/>
        </w:rPr>
      </w:pPr>
      <w:r w:rsidRPr="001D6CE2">
        <w:rPr>
          <w:rFonts w:ascii="Times New Roman" w:hAnsi="Times New Roman" w:cs="Times New Roman"/>
          <w:szCs w:val="24"/>
        </w:rPr>
        <w:t xml:space="preserve">Ross </w:t>
      </w:r>
      <w:r w:rsidRPr="0014344A">
        <w:rPr>
          <w:rFonts w:ascii="Times New Roman" w:hAnsi="Times New Roman" w:cs="Times New Roman"/>
          <w:i/>
          <w:iCs/>
          <w:szCs w:val="24"/>
        </w:rPr>
        <w:t>et al.</w:t>
      </w:r>
      <w:r w:rsidR="00C12676">
        <w:rPr>
          <w:rFonts w:ascii="Times New Roman" w:hAnsi="Times New Roman" w:cs="Times New Roman"/>
          <w:szCs w:val="24"/>
        </w:rPr>
        <w:t xml:space="preserve"> (</w:t>
      </w:r>
      <w:r w:rsidRPr="001D6CE2">
        <w:rPr>
          <w:rFonts w:ascii="Times New Roman" w:hAnsi="Times New Roman" w:cs="Times New Roman"/>
          <w:szCs w:val="24"/>
        </w:rPr>
        <w:t>2012) indica</w:t>
      </w:r>
      <w:r w:rsidR="00C12676">
        <w:rPr>
          <w:rFonts w:ascii="Times New Roman" w:hAnsi="Times New Roman" w:cs="Times New Roman"/>
          <w:szCs w:val="24"/>
        </w:rPr>
        <w:t>n</w:t>
      </w:r>
      <w:r w:rsidRPr="001D6CE2">
        <w:rPr>
          <w:rFonts w:ascii="Times New Roman" w:hAnsi="Times New Roman" w:cs="Times New Roman"/>
          <w:szCs w:val="24"/>
        </w:rPr>
        <w:t xml:space="preserve"> </w:t>
      </w:r>
      <w:r w:rsidR="00F70B5E">
        <w:rPr>
          <w:rFonts w:ascii="Times New Roman" w:hAnsi="Times New Roman" w:cs="Times New Roman"/>
          <w:szCs w:val="24"/>
        </w:rPr>
        <w:t>que el</w:t>
      </w:r>
      <w:r w:rsidR="00F70B5E" w:rsidRPr="00F70B5E">
        <w:rPr>
          <w:rFonts w:ascii="Times New Roman" w:hAnsi="Times New Roman" w:cs="Times New Roman"/>
          <w:szCs w:val="24"/>
        </w:rPr>
        <w:t xml:space="preserve"> margen operativo, también conocido como margen de utilidad operativa o margen de beneficio operativo, es una medida de la rentabilidad de una empresa que muestra el porcentaje de ingresos que queda después de deducir los costos operativos</w:t>
      </w:r>
      <w:r w:rsidR="00C9300F">
        <w:rPr>
          <w:rFonts w:ascii="Times New Roman" w:hAnsi="Times New Roman" w:cs="Times New Roman"/>
          <w:szCs w:val="24"/>
        </w:rPr>
        <w:t>,</w:t>
      </w:r>
      <w:r w:rsidR="00F70B5E" w:rsidRPr="00F70B5E">
        <w:rPr>
          <w:rFonts w:ascii="Times New Roman" w:hAnsi="Times New Roman" w:cs="Times New Roman"/>
          <w:szCs w:val="24"/>
        </w:rPr>
        <w:t xml:space="preserve"> pero antes de considerar intereses e impuestos.</w:t>
      </w:r>
      <w:r w:rsidR="00C9300F">
        <w:rPr>
          <w:rFonts w:ascii="Times New Roman" w:hAnsi="Times New Roman" w:cs="Times New Roman"/>
          <w:szCs w:val="24"/>
        </w:rPr>
        <w:t xml:space="preserve"> </w:t>
      </w:r>
      <w:r w:rsidRPr="001D6CE2">
        <w:rPr>
          <w:rFonts w:ascii="Times New Roman" w:hAnsi="Times New Roman" w:cs="Times New Roman"/>
          <w:szCs w:val="24"/>
        </w:rPr>
        <w:t>Representa la eficiencia de la empresa en la gestión de sus operaciones principales.</w:t>
      </w:r>
      <w:r w:rsidR="00C12676">
        <w:rPr>
          <w:rFonts w:ascii="Times New Roman" w:hAnsi="Times New Roman" w:cs="Times New Roman"/>
          <w:szCs w:val="24"/>
        </w:rPr>
        <w:t xml:space="preserve"> Asimismo, </w:t>
      </w:r>
      <w:r w:rsidRPr="001D6CE2">
        <w:rPr>
          <w:rFonts w:ascii="Times New Roman" w:hAnsi="Times New Roman" w:cs="Times New Roman"/>
          <w:szCs w:val="24"/>
        </w:rPr>
        <w:t xml:space="preserve">Ross </w:t>
      </w:r>
      <w:r w:rsidRPr="0014344A">
        <w:rPr>
          <w:rFonts w:ascii="Times New Roman" w:hAnsi="Times New Roman" w:cs="Times New Roman"/>
          <w:i/>
          <w:iCs/>
          <w:szCs w:val="24"/>
        </w:rPr>
        <w:t>et al.</w:t>
      </w:r>
      <w:r w:rsidR="00C12676">
        <w:rPr>
          <w:rFonts w:ascii="Times New Roman" w:hAnsi="Times New Roman" w:cs="Times New Roman"/>
          <w:szCs w:val="24"/>
        </w:rPr>
        <w:t xml:space="preserve"> (20</w:t>
      </w:r>
      <w:r w:rsidRPr="001D6CE2">
        <w:rPr>
          <w:rFonts w:ascii="Times New Roman" w:hAnsi="Times New Roman" w:cs="Times New Roman"/>
          <w:szCs w:val="24"/>
        </w:rPr>
        <w:t xml:space="preserve">12), </w:t>
      </w:r>
      <w:r w:rsidR="00C12676">
        <w:rPr>
          <w:rFonts w:ascii="Times New Roman" w:hAnsi="Times New Roman" w:cs="Times New Roman"/>
          <w:szCs w:val="24"/>
        </w:rPr>
        <w:t xml:space="preserve">señalan que </w:t>
      </w:r>
      <w:r w:rsidRPr="001D6CE2">
        <w:rPr>
          <w:rFonts w:ascii="Times New Roman" w:hAnsi="Times New Roman" w:cs="Times New Roman"/>
          <w:szCs w:val="24"/>
        </w:rPr>
        <w:t>el rendimiento sobre los activos (</w:t>
      </w:r>
      <w:r w:rsidR="00C12676">
        <w:rPr>
          <w:rFonts w:ascii="Times New Roman" w:hAnsi="Times New Roman" w:cs="Times New Roman"/>
          <w:szCs w:val="24"/>
        </w:rPr>
        <w:t xml:space="preserve">en inglés </w:t>
      </w:r>
      <w:proofErr w:type="spellStart"/>
      <w:r w:rsidR="00C12676" w:rsidRPr="00A630DC">
        <w:rPr>
          <w:rFonts w:ascii="Times New Roman" w:hAnsi="Times New Roman" w:cs="Times New Roman"/>
          <w:i/>
          <w:iCs/>
          <w:szCs w:val="24"/>
        </w:rPr>
        <w:t>R</w:t>
      </w:r>
      <w:r w:rsidRPr="00A630DC">
        <w:rPr>
          <w:rFonts w:ascii="Times New Roman" w:hAnsi="Times New Roman" w:cs="Times New Roman"/>
          <w:i/>
          <w:iCs/>
          <w:szCs w:val="24"/>
        </w:rPr>
        <w:t>eturn</w:t>
      </w:r>
      <w:proofErr w:type="spellEnd"/>
      <w:r w:rsidRPr="00A630DC">
        <w:rPr>
          <w:rFonts w:ascii="Times New Roman" w:hAnsi="Times New Roman" w:cs="Times New Roman"/>
          <w:i/>
          <w:iCs/>
          <w:szCs w:val="24"/>
        </w:rPr>
        <w:t xml:space="preserve"> </w:t>
      </w:r>
      <w:proofErr w:type="spellStart"/>
      <w:r w:rsidR="00C12676" w:rsidRPr="00A630DC">
        <w:rPr>
          <w:rFonts w:ascii="Times New Roman" w:hAnsi="Times New Roman" w:cs="Times New Roman"/>
          <w:i/>
          <w:iCs/>
          <w:szCs w:val="24"/>
        </w:rPr>
        <w:t>O</w:t>
      </w:r>
      <w:r w:rsidRPr="00A630DC">
        <w:rPr>
          <w:rFonts w:ascii="Times New Roman" w:hAnsi="Times New Roman" w:cs="Times New Roman"/>
          <w:i/>
          <w:iCs/>
          <w:szCs w:val="24"/>
        </w:rPr>
        <w:t>n</w:t>
      </w:r>
      <w:proofErr w:type="spellEnd"/>
      <w:r w:rsidRPr="00A630DC">
        <w:rPr>
          <w:rFonts w:ascii="Times New Roman" w:hAnsi="Times New Roman" w:cs="Times New Roman"/>
          <w:i/>
          <w:iCs/>
          <w:szCs w:val="24"/>
        </w:rPr>
        <w:t xml:space="preserve"> </w:t>
      </w:r>
      <w:proofErr w:type="spellStart"/>
      <w:r w:rsidR="00C12676" w:rsidRPr="00A630DC">
        <w:rPr>
          <w:rFonts w:ascii="Times New Roman" w:hAnsi="Times New Roman" w:cs="Times New Roman"/>
          <w:i/>
          <w:iCs/>
          <w:szCs w:val="24"/>
        </w:rPr>
        <w:t>A</w:t>
      </w:r>
      <w:r w:rsidRPr="00A630DC">
        <w:rPr>
          <w:rFonts w:ascii="Times New Roman" w:hAnsi="Times New Roman" w:cs="Times New Roman"/>
          <w:i/>
          <w:iCs/>
          <w:szCs w:val="24"/>
        </w:rPr>
        <w:t>ssets</w:t>
      </w:r>
      <w:proofErr w:type="spellEnd"/>
      <w:r w:rsidR="00C12676">
        <w:rPr>
          <w:rFonts w:ascii="Times New Roman" w:hAnsi="Times New Roman" w:cs="Times New Roman"/>
          <w:szCs w:val="24"/>
        </w:rPr>
        <w:t>, ROA</w:t>
      </w:r>
      <w:r w:rsidRPr="001D6CE2">
        <w:rPr>
          <w:rFonts w:ascii="Times New Roman" w:hAnsi="Times New Roman" w:cs="Times New Roman"/>
          <w:szCs w:val="24"/>
        </w:rPr>
        <w:t>) es una medida de la utilidad por dólar de activos. De igual manera, para Anaya</w:t>
      </w:r>
      <w:r w:rsidR="00C12676">
        <w:rPr>
          <w:rFonts w:ascii="Times New Roman" w:hAnsi="Times New Roman" w:cs="Times New Roman"/>
          <w:szCs w:val="24"/>
        </w:rPr>
        <w:t xml:space="preserve"> (</w:t>
      </w:r>
      <w:r w:rsidRPr="001D6CE2">
        <w:rPr>
          <w:rFonts w:ascii="Times New Roman" w:hAnsi="Times New Roman" w:cs="Times New Roman"/>
          <w:szCs w:val="24"/>
        </w:rPr>
        <w:t xml:space="preserve">2018) </w:t>
      </w:r>
      <w:r w:rsidR="00C12676">
        <w:rPr>
          <w:rFonts w:ascii="Times New Roman" w:hAnsi="Times New Roman" w:cs="Times New Roman"/>
          <w:szCs w:val="24"/>
        </w:rPr>
        <w:t xml:space="preserve">el </w:t>
      </w:r>
      <w:r w:rsidRPr="001D6CE2">
        <w:rPr>
          <w:rFonts w:ascii="Times New Roman" w:hAnsi="Times New Roman" w:cs="Times New Roman"/>
          <w:szCs w:val="24"/>
        </w:rPr>
        <w:t xml:space="preserve">ROA es un ratio financiero que mide cómo una empresa utiliza sus activos para generar ganancias. Se mide dividiendo el beneficio neto de la empresa entre el total de activos. El </w:t>
      </w:r>
      <w:r w:rsidR="00C12676">
        <w:rPr>
          <w:rFonts w:ascii="Times New Roman" w:hAnsi="Times New Roman" w:cs="Times New Roman"/>
          <w:szCs w:val="24"/>
        </w:rPr>
        <w:t>R</w:t>
      </w:r>
      <w:r w:rsidRPr="001D6CE2">
        <w:rPr>
          <w:rFonts w:ascii="Times New Roman" w:hAnsi="Times New Roman" w:cs="Times New Roman"/>
          <w:szCs w:val="24"/>
        </w:rPr>
        <w:t>OA muestra la capacidad de una empresa para convertir sus activos en beneficios.</w:t>
      </w:r>
      <w:r w:rsidR="00C12676">
        <w:rPr>
          <w:rFonts w:ascii="Times New Roman" w:hAnsi="Times New Roman" w:cs="Times New Roman"/>
          <w:szCs w:val="24"/>
        </w:rPr>
        <w:t xml:space="preserve"> </w:t>
      </w:r>
      <w:r w:rsidRPr="001D6CE2">
        <w:rPr>
          <w:rFonts w:ascii="Times New Roman" w:hAnsi="Times New Roman" w:cs="Times New Roman"/>
          <w:szCs w:val="24"/>
        </w:rPr>
        <w:t xml:space="preserve">Como parte de los bienes organizacionales, los activos se consideran un componente eficaz para la actividad comercial, ya que su posesión se considera una ventaja competitiva que permitirá generar mayores niveles de recursos y aumentar la rentabilidad </w:t>
      </w:r>
      <w:r w:rsidR="00D95DF4">
        <w:rPr>
          <w:rFonts w:ascii="Times New Roman" w:hAnsi="Times New Roman" w:cs="Times New Roman"/>
          <w:szCs w:val="24"/>
        </w:rPr>
        <w:fldChar w:fldCharType="begin" w:fldLock="1"/>
      </w:r>
      <w:r w:rsidR="00E2570B">
        <w:rPr>
          <w:rFonts w:ascii="Times New Roman" w:hAnsi="Times New Roman" w:cs="Times New Roman"/>
          <w:szCs w:val="24"/>
        </w:rPr>
        <w:instrText>ADDIN CSL_CITATION {"citationItems":[{"id":"ITEM-1","itemData":{"abstract":"La investigación se planteó como objetivo analizar la rentabilidad en las empresas de construcción y montaje, bajo el cimento de autores tales como Castillo (2018), Romero (2018), Luna &amp; Sarmiento (2019), entre otros. Metodológicamente, se desarrolló bajo el paradigma positivista, enfoque cuantitativo, tipología analítica, diseño fuente viva, transeccional, univariable. La población se conformó por las doscientos cincuenta (250) empresas prestadoras de servicios a la Cámara Petrolera de Venezuela, Capítulo Zulia, de las cuales solo tres (03) desarrollan actividades de construcción y montaje en el municipio Maracaibo; razón por la cual se recurrió a la técnica del censo poblacional, determinando 08 unidades informantes (gerentes administrativos, gerentes financieros y contralores). Como técnica para recolectar datos, se recurrió a la entrevista no estructurada, mientras que como instrumento, se diseñó un cuestionario estructurado bajo la escala Likert, conformado por quince (15) ítems con cinco (05) opciones de respuesta, validado por cinco (05) expertos y determinada su confiabilidad a través del coeficiente Alpha de Cronbach con 0,81 como resultado; determinándose con alto nivel de confiabilidad. Para analizar los resultados obtenidos, se recurrió a la estadística descriptiva; con base a los parámetros que asocian la variable a la escala de la razón así como la actitud. Los hallazgos determinados, permitieron establecer que en las empresas para apalancar las operaciones recurren instrumentos variados para desarrollar los tipos de rentabilidad; siendo la rentabilidad financiera la de mayor participación; al generar un soporte más robusto para garantizar sustentabilidad, sostenibilidad, crecimiento, desarrollo y participación en el mercado.","author":[{"dropping-particle":"","family":"Belloso","given":"Luis","non-dropping-particle":"","parse-names":false,"suffix":""},{"dropping-particle":"","family":"Fernández","given":"Nysela","non-dropping-particle":"","parse-names":false,"suffix":""},{"dropping-particle":"","family":"Álvarez","given":"Danny","non-dropping-particle":"","parse-names":false,"suffix":""}],"container-title":"Revista Científica Multidisciplinaria IPSA Scientia","id":"ITEM-1","issue":"1","issued":{"date-parts":[["2021"]]},"page":"81-99","title":"Profitability in companies of construction and assembly","type":"article-journal","volume":"6"},"uris":["http://www.mendeley.com/documents/?uuid=dc34a3f5-3897-4d8d-a577-ea09a4f51823"]}],"mendeley":{"formattedCitation":"(Belloso et al., 2021)","plainTextFormattedCitation":"(Belloso et al., 2021)","previouslyFormattedCitation":"(Belloso et al., 2021)"},"properties":{"noteIndex":0},"schema":"https://github.com/citation-style-language/schema/raw/master/csl-citation.json"}</w:instrText>
      </w:r>
      <w:r w:rsidR="00D95DF4">
        <w:rPr>
          <w:rFonts w:ascii="Times New Roman" w:hAnsi="Times New Roman" w:cs="Times New Roman"/>
          <w:szCs w:val="24"/>
        </w:rPr>
        <w:fldChar w:fldCharType="separate"/>
      </w:r>
      <w:r w:rsidR="00D95DF4" w:rsidRPr="00D95DF4">
        <w:rPr>
          <w:rFonts w:ascii="Times New Roman" w:hAnsi="Times New Roman" w:cs="Times New Roman"/>
          <w:noProof/>
          <w:szCs w:val="24"/>
        </w:rPr>
        <w:t xml:space="preserve">(Belloso </w:t>
      </w:r>
      <w:r w:rsidR="00D95DF4" w:rsidRPr="0014344A">
        <w:rPr>
          <w:rFonts w:ascii="Times New Roman" w:hAnsi="Times New Roman" w:cs="Times New Roman"/>
          <w:i/>
          <w:iCs/>
          <w:noProof/>
          <w:szCs w:val="24"/>
        </w:rPr>
        <w:t>et al.</w:t>
      </w:r>
      <w:r w:rsidR="00D95DF4" w:rsidRPr="00D95DF4">
        <w:rPr>
          <w:rFonts w:ascii="Times New Roman" w:hAnsi="Times New Roman" w:cs="Times New Roman"/>
          <w:noProof/>
          <w:szCs w:val="24"/>
        </w:rPr>
        <w:t>, 2021)</w:t>
      </w:r>
      <w:r w:rsidR="00D95DF4">
        <w:rPr>
          <w:rFonts w:ascii="Times New Roman" w:hAnsi="Times New Roman" w:cs="Times New Roman"/>
          <w:szCs w:val="24"/>
        </w:rPr>
        <w:fldChar w:fldCharType="end"/>
      </w:r>
      <w:r w:rsidR="00D95DF4">
        <w:rPr>
          <w:rFonts w:ascii="Times New Roman" w:hAnsi="Times New Roman" w:cs="Times New Roman"/>
          <w:szCs w:val="24"/>
        </w:rPr>
        <w:t>.</w:t>
      </w:r>
      <w:r w:rsidR="00C12676">
        <w:rPr>
          <w:rFonts w:ascii="Times New Roman" w:hAnsi="Times New Roman" w:cs="Times New Roman"/>
          <w:szCs w:val="24"/>
        </w:rPr>
        <w:t xml:space="preserve"> </w:t>
      </w:r>
      <w:r w:rsidR="00E2570B">
        <w:rPr>
          <w:rFonts w:ascii="Times New Roman" w:hAnsi="Times New Roman" w:cs="Times New Roman"/>
          <w:szCs w:val="24"/>
        </w:rPr>
        <w:fldChar w:fldCharType="begin" w:fldLock="1"/>
      </w:r>
      <w:r w:rsidR="001160EB">
        <w:rPr>
          <w:rFonts w:ascii="Times New Roman" w:hAnsi="Times New Roman" w:cs="Times New Roman"/>
          <w:szCs w:val="24"/>
        </w:rPr>
        <w:instrText>ADDIN CSL_CITATION {"citationItems":[{"id":"ITEM-1","itemData":{"ISSN":"0103-328X","abstract":"Texto sobre a rentabilidade.","author":[{"dropping-particle":"","family":"Aguirre","given":"Claudia","non-dropping-particle":"","parse-names":false,"suffix":""},{"dropping-particle":"","family":"Barona","given":"Cesar","non-dropping-particle":"","parse-names":false,"suffix":""},{"dropping-particle":"","family":"Dávila","given":"Gladys","non-dropping-particle":"","parse-names":false,"suffix":""}],"container-title":"Valor contable","id":"ITEM-1","issue":"42","issued":{"date-parts":[["2020"]]},"page":"50-64","title":"La rentabilidad como herramienta para la toma de decisiones: análisis empírico en una empresa industrial","type":"article-journal","volume":"7"},"uris":["http://www.mendeley.com/documents/?uuid=100b52cb-fdcc-4adc-8fe5-4290bbe72458"]}],"mendeley":{"formattedCitation":"(Aguirre et al., 2020)","plainTextFormattedCitation":"(Aguirre et al., 2020)","previouslyFormattedCitation":"(Aguirre et al., 2020)"},"properties":{"noteIndex":0},"schema":"https://github.com/citation-style-language/schema/raw/master/csl-citation.json"}</w:instrText>
      </w:r>
      <w:r w:rsidR="00E2570B">
        <w:rPr>
          <w:rFonts w:ascii="Times New Roman" w:hAnsi="Times New Roman" w:cs="Times New Roman"/>
          <w:szCs w:val="24"/>
        </w:rPr>
        <w:fldChar w:fldCharType="separate"/>
      </w:r>
      <w:r w:rsidR="00E2570B" w:rsidRPr="00E2570B">
        <w:rPr>
          <w:rFonts w:ascii="Times New Roman" w:hAnsi="Times New Roman" w:cs="Times New Roman"/>
          <w:noProof/>
          <w:szCs w:val="24"/>
        </w:rPr>
        <w:t xml:space="preserve">Aguirre </w:t>
      </w:r>
      <w:r w:rsidR="00E2570B" w:rsidRPr="0014344A">
        <w:rPr>
          <w:rFonts w:ascii="Times New Roman" w:hAnsi="Times New Roman" w:cs="Times New Roman"/>
          <w:i/>
          <w:iCs/>
          <w:noProof/>
          <w:szCs w:val="24"/>
        </w:rPr>
        <w:t>et al.</w:t>
      </w:r>
      <w:r w:rsidR="00E2570B" w:rsidRPr="00E2570B">
        <w:rPr>
          <w:rFonts w:ascii="Times New Roman" w:hAnsi="Times New Roman" w:cs="Times New Roman"/>
          <w:noProof/>
          <w:szCs w:val="24"/>
        </w:rPr>
        <w:t>, 2020)</w:t>
      </w:r>
      <w:r w:rsidR="00E2570B">
        <w:rPr>
          <w:rFonts w:ascii="Times New Roman" w:hAnsi="Times New Roman" w:cs="Times New Roman"/>
          <w:szCs w:val="24"/>
        </w:rPr>
        <w:fldChar w:fldCharType="end"/>
      </w:r>
      <w:r w:rsidR="00E2570B">
        <w:rPr>
          <w:rFonts w:ascii="Times New Roman" w:hAnsi="Times New Roman" w:cs="Times New Roman"/>
          <w:szCs w:val="24"/>
        </w:rPr>
        <w:t xml:space="preserve">, </w:t>
      </w:r>
      <w:r w:rsidRPr="001D6CE2">
        <w:rPr>
          <w:rFonts w:ascii="Times New Roman" w:hAnsi="Times New Roman" w:cs="Times New Roman"/>
          <w:szCs w:val="24"/>
        </w:rPr>
        <w:t>señalan que el ROA es un indicador que permite tomar decisiones, para expandir las operaciones y diversificarse.</w:t>
      </w:r>
    </w:p>
    <w:p w14:paraId="11F0AFDE" w14:textId="3322F1E6" w:rsidR="00E16B6D" w:rsidRDefault="001D6CE2" w:rsidP="00A630DC">
      <w:pPr>
        <w:spacing w:after="0"/>
        <w:ind w:firstLine="284"/>
        <w:rPr>
          <w:rFonts w:ascii="Times New Roman" w:hAnsi="Times New Roman" w:cs="Times New Roman"/>
          <w:szCs w:val="24"/>
        </w:rPr>
      </w:pPr>
      <w:r w:rsidRPr="001D6CE2">
        <w:rPr>
          <w:rFonts w:ascii="Times New Roman" w:hAnsi="Times New Roman" w:cs="Times New Roman"/>
          <w:szCs w:val="24"/>
        </w:rPr>
        <w:t xml:space="preserve">Por su parte, el </w:t>
      </w:r>
      <w:r w:rsidR="00C35798">
        <w:rPr>
          <w:rFonts w:ascii="Times New Roman" w:hAnsi="Times New Roman" w:cs="Times New Roman"/>
          <w:szCs w:val="24"/>
        </w:rPr>
        <w:t xml:space="preserve">retorno sobre el patrimonio (en inglés </w:t>
      </w:r>
      <w:proofErr w:type="spellStart"/>
      <w:r w:rsidR="00C35798" w:rsidRPr="00A630DC">
        <w:rPr>
          <w:rFonts w:ascii="Times New Roman" w:hAnsi="Times New Roman" w:cs="Times New Roman"/>
          <w:i/>
          <w:iCs/>
          <w:szCs w:val="24"/>
        </w:rPr>
        <w:t>Return</w:t>
      </w:r>
      <w:proofErr w:type="spellEnd"/>
      <w:r w:rsidR="00C35798" w:rsidRPr="00A630DC">
        <w:rPr>
          <w:rFonts w:ascii="Times New Roman" w:hAnsi="Times New Roman" w:cs="Times New Roman"/>
          <w:i/>
          <w:iCs/>
          <w:szCs w:val="24"/>
        </w:rPr>
        <w:t xml:space="preserve"> </w:t>
      </w:r>
      <w:proofErr w:type="spellStart"/>
      <w:r w:rsidR="00C35798" w:rsidRPr="00A630DC">
        <w:rPr>
          <w:rFonts w:ascii="Times New Roman" w:hAnsi="Times New Roman" w:cs="Times New Roman"/>
          <w:i/>
          <w:iCs/>
          <w:szCs w:val="24"/>
        </w:rPr>
        <w:t>on</w:t>
      </w:r>
      <w:proofErr w:type="spellEnd"/>
      <w:r w:rsidR="00C35798" w:rsidRPr="00A630DC">
        <w:rPr>
          <w:rFonts w:ascii="Times New Roman" w:hAnsi="Times New Roman" w:cs="Times New Roman"/>
          <w:i/>
          <w:iCs/>
          <w:szCs w:val="24"/>
        </w:rPr>
        <w:t xml:space="preserve"> </w:t>
      </w:r>
      <w:proofErr w:type="spellStart"/>
      <w:r w:rsidR="00C35798" w:rsidRPr="00A630DC">
        <w:rPr>
          <w:rFonts w:ascii="Times New Roman" w:hAnsi="Times New Roman" w:cs="Times New Roman"/>
          <w:i/>
          <w:iCs/>
          <w:szCs w:val="24"/>
        </w:rPr>
        <w:t>Equity</w:t>
      </w:r>
      <w:proofErr w:type="spellEnd"/>
      <w:r w:rsidR="00C35798">
        <w:rPr>
          <w:rFonts w:ascii="Times New Roman" w:hAnsi="Times New Roman" w:cs="Times New Roman"/>
          <w:szCs w:val="24"/>
        </w:rPr>
        <w:t>,</w:t>
      </w:r>
      <w:r w:rsidR="00C35798" w:rsidRPr="00C35798">
        <w:rPr>
          <w:rFonts w:ascii="Times New Roman" w:hAnsi="Times New Roman" w:cs="Times New Roman"/>
          <w:szCs w:val="24"/>
        </w:rPr>
        <w:t xml:space="preserve"> </w:t>
      </w:r>
      <w:r w:rsidRPr="001D6CE2">
        <w:rPr>
          <w:rFonts w:ascii="Times New Roman" w:hAnsi="Times New Roman" w:cs="Times New Roman"/>
          <w:szCs w:val="24"/>
        </w:rPr>
        <w:t>ROE</w:t>
      </w:r>
      <w:r w:rsidR="00C35798">
        <w:rPr>
          <w:rFonts w:ascii="Times New Roman" w:hAnsi="Times New Roman" w:cs="Times New Roman"/>
          <w:szCs w:val="24"/>
        </w:rPr>
        <w:t>)</w:t>
      </w:r>
      <w:r w:rsidRPr="001D6CE2">
        <w:rPr>
          <w:rFonts w:ascii="Times New Roman" w:hAnsi="Times New Roman" w:cs="Times New Roman"/>
          <w:szCs w:val="24"/>
        </w:rPr>
        <w:t xml:space="preserve"> es el rendimiento, que equivale al beneficio acumulado de todos los proyectos pasados de la misma (Ross </w:t>
      </w:r>
      <w:r w:rsidRPr="0014344A">
        <w:rPr>
          <w:rFonts w:ascii="Times New Roman" w:hAnsi="Times New Roman" w:cs="Times New Roman"/>
          <w:i/>
          <w:iCs/>
          <w:szCs w:val="24"/>
        </w:rPr>
        <w:t>et al.</w:t>
      </w:r>
      <w:r w:rsidRPr="001D6CE2">
        <w:rPr>
          <w:rFonts w:ascii="Times New Roman" w:hAnsi="Times New Roman" w:cs="Times New Roman"/>
          <w:szCs w:val="24"/>
        </w:rPr>
        <w:t>, 2018).</w:t>
      </w:r>
      <w:r w:rsidR="00116D79">
        <w:rPr>
          <w:rFonts w:ascii="Times New Roman" w:hAnsi="Times New Roman" w:cs="Times New Roman"/>
          <w:szCs w:val="24"/>
        </w:rPr>
        <w:t xml:space="preserve"> Gitman</w:t>
      </w:r>
      <w:r w:rsidR="00C35798">
        <w:rPr>
          <w:rFonts w:ascii="Times New Roman" w:hAnsi="Times New Roman" w:cs="Times New Roman"/>
          <w:szCs w:val="24"/>
        </w:rPr>
        <w:t xml:space="preserve"> &amp;</w:t>
      </w:r>
      <w:r w:rsidRPr="001D6CE2">
        <w:rPr>
          <w:rFonts w:ascii="Times New Roman" w:hAnsi="Times New Roman" w:cs="Times New Roman"/>
          <w:szCs w:val="24"/>
        </w:rPr>
        <w:t xml:space="preserve"> </w:t>
      </w:r>
      <w:proofErr w:type="spellStart"/>
      <w:r w:rsidRPr="001D6CE2">
        <w:rPr>
          <w:rFonts w:ascii="Times New Roman" w:hAnsi="Times New Roman" w:cs="Times New Roman"/>
          <w:szCs w:val="24"/>
        </w:rPr>
        <w:t>Zutter</w:t>
      </w:r>
      <w:proofErr w:type="spellEnd"/>
      <w:r w:rsidR="00C35798">
        <w:rPr>
          <w:rFonts w:ascii="Times New Roman" w:hAnsi="Times New Roman" w:cs="Times New Roman"/>
          <w:szCs w:val="24"/>
        </w:rPr>
        <w:t xml:space="preserve"> (</w:t>
      </w:r>
      <w:r w:rsidRPr="001D6CE2">
        <w:rPr>
          <w:rFonts w:ascii="Times New Roman" w:hAnsi="Times New Roman" w:cs="Times New Roman"/>
          <w:szCs w:val="24"/>
        </w:rPr>
        <w:t>2012)</w:t>
      </w:r>
      <w:r w:rsidR="00C35798">
        <w:rPr>
          <w:rFonts w:ascii="Times New Roman" w:hAnsi="Times New Roman" w:cs="Times New Roman"/>
          <w:szCs w:val="24"/>
        </w:rPr>
        <w:t xml:space="preserve"> </w:t>
      </w:r>
      <w:r w:rsidR="004777CF">
        <w:rPr>
          <w:rFonts w:ascii="Times New Roman" w:hAnsi="Times New Roman" w:cs="Times New Roman"/>
          <w:szCs w:val="24"/>
        </w:rPr>
        <w:t>señalan que</w:t>
      </w:r>
      <w:r w:rsidR="004777CF" w:rsidRPr="004777CF">
        <w:rPr>
          <w:rFonts w:ascii="Times New Roman" w:hAnsi="Times New Roman" w:cs="Times New Roman"/>
          <w:szCs w:val="24"/>
        </w:rPr>
        <w:t xml:space="preserve"> el rendimiento de capital (ROE) es un indicador financiero que mide la rentabilidad de una empresa en relación con el capital aportado por los accionistas. El ROE se calcula dividiendo el beneficio neto de la empresa por su patrimonio neto</w:t>
      </w:r>
      <w:r w:rsidR="008548A7" w:rsidRPr="008548A7">
        <w:rPr>
          <w:rFonts w:ascii="Times New Roman" w:hAnsi="Times New Roman" w:cs="Times New Roman"/>
          <w:szCs w:val="24"/>
        </w:rPr>
        <w:t xml:space="preserve">. Este indicador muestra cómo la empresa utiliza el capital de los accionistas para generar ganancias. </w:t>
      </w:r>
      <w:r w:rsidRPr="001D6CE2">
        <w:rPr>
          <w:rFonts w:ascii="Times New Roman" w:hAnsi="Times New Roman" w:cs="Times New Roman"/>
          <w:szCs w:val="24"/>
        </w:rPr>
        <w:t>Un ROE alto indica una mayor rentabilidad para los accionistas y puede ser un signo de una gestión eficaz.</w:t>
      </w:r>
    </w:p>
    <w:p w14:paraId="138E759E" w14:textId="77777777" w:rsidR="00A630DC" w:rsidRDefault="00A630DC" w:rsidP="00A630DC">
      <w:pPr>
        <w:spacing w:after="0"/>
        <w:ind w:firstLine="284"/>
        <w:rPr>
          <w:rFonts w:ascii="Times New Roman" w:hAnsi="Times New Roman" w:cs="Times New Roman"/>
          <w:szCs w:val="24"/>
        </w:rPr>
      </w:pPr>
    </w:p>
    <w:p w14:paraId="43AF714D" w14:textId="77777777" w:rsidR="00DF2D52" w:rsidRDefault="00DF2D52" w:rsidP="00A630DC">
      <w:pPr>
        <w:spacing w:after="0"/>
        <w:ind w:firstLine="284"/>
        <w:rPr>
          <w:rFonts w:ascii="Times New Roman" w:hAnsi="Times New Roman" w:cs="Times New Roman"/>
          <w:szCs w:val="24"/>
        </w:rPr>
      </w:pPr>
    </w:p>
    <w:p w14:paraId="0A9CE758" w14:textId="1B13487C" w:rsidR="0000141B" w:rsidRPr="008D05DE" w:rsidRDefault="0000141B" w:rsidP="00A630DC">
      <w:pPr>
        <w:pStyle w:val="Default"/>
        <w:numPr>
          <w:ilvl w:val="0"/>
          <w:numId w:val="11"/>
        </w:numPr>
        <w:rPr>
          <w:b/>
          <w:bCs/>
          <w:lang w:val="es-ES"/>
        </w:rPr>
      </w:pPr>
      <w:r w:rsidRPr="008D05DE">
        <w:rPr>
          <w:b/>
          <w:bCs/>
          <w:lang w:val="es-ES"/>
        </w:rPr>
        <w:lastRenderedPageBreak/>
        <w:t xml:space="preserve">Resultados de investigación </w:t>
      </w:r>
    </w:p>
    <w:p w14:paraId="230C2C0A" w14:textId="77777777" w:rsidR="00825CE6" w:rsidRPr="008D05DE" w:rsidRDefault="00825CE6" w:rsidP="00A630DC">
      <w:pPr>
        <w:spacing w:after="0"/>
        <w:ind w:firstLine="270"/>
        <w:rPr>
          <w:rFonts w:ascii="Times New Roman" w:hAnsi="Times New Roman" w:cs="Times New Roman"/>
          <w:szCs w:val="24"/>
          <w:lang w:val="es-ES"/>
        </w:rPr>
      </w:pPr>
    </w:p>
    <w:p w14:paraId="46B7F95A" w14:textId="18C8904E" w:rsidR="00C35798" w:rsidRPr="00865C37" w:rsidRDefault="008D3F11" w:rsidP="00A630DC">
      <w:pPr>
        <w:spacing w:after="0"/>
        <w:ind w:firstLine="270"/>
        <w:rPr>
          <w:rFonts w:ascii="Times New Roman" w:eastAsia="Arial" w:hAnsi="Times New Roman" w:cs="Times New Roman"/>
          <w:szCs w:val="24"/>
          <w:lang w:val="es-ES" w:eastAsia="es-CO"/>
        </w:rPr>
      </w:pPr>
      <w:r w:rsidRPr="008D3F11">
        <w:rPr>
          <w:rFonts w:ascii="Times New Roman" w:hAnsi="Times New Roman" w:cs="Times New Roman"/>
          <w:szCs w:val="24"/>
          <w:lang w:val="es-ES"/>
        </w:rPr>
        <w:t>A continuación se presenta el comportamiento del CCE de las grandes empresas del sector comercio en Colombia.</w:t>
      </w:r>
      <w:r w:rsidR="00C35798">
        <w:rPr>
          <w:rFonts w:ascii="Times New Roman" w:hAnsi="Times New Roman" w:cs="Times New Roman"/>
          <w:szCs w:val="24"/>
          <w:lang w:val="es-ES"/>
        </w:rPr>
        <w:t xml:space="preserve"> </w:t>
      </w:r>
      <w:r w:rsidR="00C35798" w:rsidRPr="00865C37">
        <w:rPr>
          <w:rFonts w:ascii="Times New Roman" w:eastAsia="Arial" w:hAnsi="Times New Roman" w:cs="Times New Roman"/>
          <w:szCs w:val="24"/>
          <w:lang w:val="es-ES" w:eastAsia="es-CO"/>
        </w:rPr>
        <w:t>De acuerdo con la tabla 2, el CCE mostró una rotación de 41 días en el año 2016, la cual disminuyó a 35 días en el año 2022, representando una diferencia de 6 días. El rango de rotación varió entre un mínimo de 28 y un máximo de 42 días, con un promedio de 35 días. Esto indica una mejora en la gestión del flujo de caja, ya que puede generar efectivo rápidamente a partir de sus operaciones, lo que es una señal de salud financiera.</w:t>
      </w:r>
      <w:r w:rsidR="00C35798">
        <w:rPr>
          <w:rFonts w:ascii="Times New Roman" w:eastAsia="Arial" w:hAnsi="Times New Roman" w:cs="Times New Roman"/>
          <w:szCs w:val="24"/>
          <w:lang w:val="es-ES" w:eastAsia="es-CO"/>
        </w:rPr>
        <w:t xml:space="preserve"> </w:t>
      </w:r>
      <w:r w:rsidR="00C35798" w:rsidRPr="00865C37">
        <w:rPr>
          <w:rFonts w:ascii="Times New Roman" w:eastAsia="Arial" w:hAnsi="Times New Roman" w:cs="Times New Roman"/>
          <w:szCs w:val="24"/>
          <w:lang w:val="es-ES" w:eastAsia="es-CO"/>
        </w:rPr>
        <w:t>Esto permite a las empresas reducir sus necesidades de financiamiento y mejorar su capacidad para pagar a sus proveedores y cobrar a sus clientes.</w:t>
      </w:r>
    </w:p>
    <w:p w14:paraId="7BBB6414" w14:textId="3ECFFD06" w:rsidR="00C35798" w:rsidRPr="00865C37" w:rsidRDefault="00C35798" w:rsidP="00A630DC">
      <w:pPr>
        <w:spacing w:after="0"/>
        <w:ind w:firstLine="284"/>
        <w:rPr>
          <w:rFonts w:ascii="Times New Roman" w:eastAsia="Arial" w:hAnsi="Times New Roman" w:cs="Times New Roman"/>
          <w:szCs w:val="24"/>
          <w:lang w:val="es-ES" w:eastAsia="es-CO"/>
        </w:rPr>
      </w:pPr>
      <w:r w:rsidRPr="00865C37">
        <w:rPr>
          <w:rFonts w:ascii="Times New Roman" w:eastAsia="Arial" w:hAnsi="Times New Roman" w:cs="Times New Roman"/>
          <w:szCs w:val="24"/>
          <w:lang w:val="es-ES" w:eastAsia="es-CO"/>
        </w:rPr>
        <w:t>En cuanto a la rotación de inventario (en días) entre los años 2016 y 2022, se observ</w:t>
      </w:r>
      <w:r>
        <w:rPr>
          <w:rFonts w:ascii="Times New Roman" w:eastAsia="Arial" w:hAnsi="Times New Roman" w:cs="Times New Roman"/>
          <w:szCs w:val="24"/>
          <w:lang w:val="es-ES" w:eastAsia="es-CO"/>
        </w:rPr>
        <w:t>ó</w:t>
      </w:r>
      <w:r w:rsidRPr="00865C37">
        <w:rPr>
          <w:rFonts w:ascii="Times New Roman" w:eastAsia="Arial" w:hAnsi="Times New Roman" w:cs="Times New Roman"/>
          <w:szCs w:val="24"/>
          <w:lang w:val="es-ES" w:eastAsia="es-CO"/>
        </w:rPr>
        <w:t xml:space="preserve"> una diferencia de solo un (1) día, pasando de 75 a 76 días respectivamente. El rango fluctuó entre un mínimo de 69 y un máximo de 78 días, con un promedio de 73 días (</w:t>
      </w:r>
      <w:r>
        <w:rPr>
          <w:rFonts w:ascii="Times New Roman" w:eastAsia="Arial" w:hAnsi="Times New Roman" w:cs="Times New Roman"/>
          <w:szCs w:val="24"/>
          <w:lang w:val="es-ES" w:eastAsia="es-CO"/>
        </w:rPr>
        <w:t>t</w:t>
      </w:r>
      <w:r w:rsidRPr="00865C37">
        <w:rPr>
          <w:rFonts w:ascii="Times New Roman" w:eastAsia="Arial" w:hAnsi="Times New Roman" w:cs="Times New Roman"/>
          <w:szCs w:val="24"/>
          <w:lang w:val="es-ES" w:eastAsia="es-CO"/>
        </w:rPr>
        <w:t>abla 2). Esto sugiere que la empresa está tardando ligeramente más tiempo en vender y reponer su inventario.</w:t>
      </w:r>
      <w:r>
        <w:rPr>
          <w:rFonts w:ascii="Times New Roman" w:eastAsia="Arial" w:hAnsi="Times New Roman" w:cs="Times New Roman"/>
          <w:szCs w:val="24"/>
          <w:lang w:val="es-ES" w:eastAsia="es-CO"/>
        </w:rPr>
        <w:t xml:space="preserve"> </w:t>
      </w:r>
      <w:r w:rsidRPr="00865C37">
        <w:rPr>
          <w:rFonts w:ascii="Times New Roman" w:eastAsia="Arial" w:hAnsi="Times New Roman" w:cs="Times New Roman"/>
          <w:szCs w:val="24"/>
          <w:lang w:val="es-ES" w:eastAsia="es-CO"/>
        </w:rPr>
        <w:t>El resultado más significativo es el cambio en la rotación de cartera (en días). En 2016, la rotación fue de 65 días, disminuyendo a 56 días en 2022, lo que representa una diferencia de 9 días. El rango osciló entre un mínimo de 56 y un máximo de 74 días, con un promedio de 65 días. La cartera, fue el causante de la disminución del ciclo de caja de efectivo en el periodo analizado. Esto resulta beneficioso ya que  para el sector implica, mayor liquidez y menor riesgo de cobro, lo que puede liberar recursos para otras inversiones y mejorar la eficiencia financiera del sector. Además permite adaptarse más rápido a cambios en el mercado y tener una mayor capacidad para responder a oportunidades y desafíos financieros.</w:t>
      </w:r>
    </w:p>
    <w:p w14:paraId="5EFB4647" w14:textId="77777777" w:rsidR="00C35798" w:rsidRPr="00865C37" w:rsidRDefault="00C35798" w:rsidP="00A630DC">
      <w:pPr>
        <w:spacing w:after="0"/>
        <w:ind w:firstLine="284"/>
        <w:rPr>
          <w:rFonts w:ascii="Times New Roman" w:eastAsia="Arial" w:hAnsi="Times New Roman" w:cs="Times New Roman"/>
          <w:szCs w:val="24"/>
          <w:lang w:val="es-ES" w:eastAsia="es-CO"/>
        </w:rPr>
      </w:pPr>
      <w:r w:rsidRPr="00865C37">
        <w:rPr>
          <w:rFonts w:ascii="Times New Roman" w:eastAsia="Arial" w:hAnsi="Times New Roman" w:cs="Times New Roman"/>
          <w:szCs w:val="24"/>
          <w:lang w:val="es-ES" w:eastAsia="es-CO"/>
        </w:rPr>
        <w:t>Por último, en relación a la rotación de proveedores (en días), se observa que en 2016 la rotación fue de 99 días, mientras que en 2022 disminuyó a 97 días, lo que representa una diferencia de 2 días. El rango fluctuó entre un máximo de 103 y un mínimo de 110 días, promediando 103 días en los periodos mencionados. No obstante, es importante señalar que esta disminución no siempre es positiva, ya que las empresas pueden perder la oportunidad de aprovechar plazos de pago favorables ofrecidos por los proveedores.</w:t>
      </w:r>
    </w:p>
    <w:p w14:paraId="3500D379" w14:textId="77777777" w:rsidR="008D3F11" w:rsidRDefault="008D3F11" w:rsidP="00A630DC">
      <w:pPr>
        <w:spacing w:after="0"/>
        <w:ind w:firstLine="270"/>
        <w:rPr>
          <w:rFonts w:ascii="Times New Roman" w:hAnsi="Times New Roman" w:cs="Times New Roman"/>
          <w:szCs w:val="24"/>
          <w:lang w:val="es-ES"/>
        </w:rPr>
      </w:pPr>
    </w:p>
    <w:p w14:paraId="7F38DAFB" w14:textId="74DAA051" w:rsidR="008D3F11" w:rsidRPr="000B289E" w:rsidRDefault="008D3F11" w:rsidP="00A630DC">
      <w:pPr>
        <w:spacing w:after="0"/>
        <w:rPr>
          <w:b/>
          <w:bCs/>
          <w:noProof/>
        </w:rPr>
      </w:pPr>
      <w:r w:rsidRPr="008D3F11">
        <w:rPr>
          <w:rFonts w:ascii="Times New Roman" w:hAnsi="Times New Roman" w:cs="Times New Roman"/>
          <w:b/>
          <w:bCs/>
          <w:sz w:val="20"/>
          <w:szCs w:val="20"/>
          <w:lang w:val="es-ES"/>
        </w:rPr>
        <w:t xml:space="preserve">Tabla </w:t>
      </w:r>
      <w:r w:rsidRPr="008D3F11">
        <w:rPr>
          <w:rFonts w:ascii="Times New Roman" w:hAnsi="Times New Roman" w:cs="Times New Roman"/>
          <w:b/>
          <w:bCs/>
          <w:sz w:val="20"/>
          <w:szCs w:val="20"/>
          <w:lang w:val="es-ES"/>
        </w:rPr>
        <w:fldChar w:fldCharType="begin"/>
      </w:r>
      <w:r w:rsidRPr="008D3F11">
        <w:rPr>
          <w:rFonts w:ascii="Times New Roman" w:hAnsi="Times New Roman" w:cs="Times New Roman"/>
          <w:b/>
          <w:bCs/>
          <w:sz w:val="20"/>
          <w:szCs w:val="20"/>
          <w:lang w:val="es-ES"/>
        </w:rPr>
        <w:instrText xml:space="preserve"> SEQ Tabla \* ARABIC </w:instrText>
      </w:r>
      <w:r w:rsidRPr="008D3F11">
        <w:rPr>
          <w:rFonts w:ascii="Times New Roman" w:hAnsi="Times New Roman" w:cs="Times New Roman"/>
          <w:b/>
          <w:bCs/>
          <w:sz w:val="20"/>
          <w:szCs w:val="20"/>
          <w:lang w:val="es-ES"/>
        </w:rPr>
        <w:fldChar w:fldCharType="separate"/>
      </w:r>
      <w:r w:rsidR="005A3813">
        <w:rPr>
          <w:rFonts w:ascii="Times New Roman" w:hAnsi="Times New Roman" w:cs="Times New Roman"/>
          <w:b/>
          <w:bCs/>
          <w:noProof/>
          <w:sz w:val="20"/>
          <w:szCs w:val="20"/>
          <w:lang w:val="es-ES"/>
        </w:rPr>
        <w:t>2</w:t>
      </w:r>
      <w:r w:rsidRPr="008D3F11">
        <w:rPr>
          <w:rFonts w:ascii="Times New Roman" w:hAnsi="Times New Roman" w:cs="Times New Roman"/>
          <w:b/>
          <w:bCs/>
          <w:sz w:val="20"/>
          <w:szCs w:val="20"/>
          <w:lang w:val="es-ES"/>
        </w:rPr>
        <w:fldChar w:fldCharType="end"/>
      </w:r>
      <w:r w:rsidRPr="000B289E">
        <w:rPr>
          <w:b/>
          <w:bCs/>
          <w:noProof/>
        </w:rPr>
        <w:t xml:space="preserve">. </w:t>
      </w:r>
      <w:r w:rsidRPr="008D3F11">
        <w:rPr>
          <w:rFonts w:ascii="Times New Roman" w:hAnsi="Times New Roman" w:cs="Times New Roman"/>
          <w:b/>
          <w:bCs/>
          <w:i/>
          <w:iCs/>
          <w:sz w:val="20"/>
          <w:szCs w:val="20"/>
          <w:lang w:val="es-ES"/>
        </w:rPr>
        <w:t>Ciclo de caja de efectivo de las grandes empresas del sector comercio en Colombia</w:t>
      </w:r>
    </w:p>
    <w:tbl>
      <w:tblPr>
        <w:tblW w:w="0" w:type="auto"/>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2180"/>
        <w:gridCol w:w="460"/>
        <w:gridCol w:w="460"/>
        <w:gridCol w:w="460"/>
        <w:gridCol w:w="460"/>
        <w:gridCol w:w="460"/>
        <w:gridCol w:w="460"/>
        <w:gridCol w:w="460"/>
        <w:gridCol w:w="425"/>
        <w:gridCol w:w="452"/>
        <w:gridCol w:w="807"/>
        <w:gridCol w:w="851"/>
      </w:tblGrid>
      <w:tr w:rsidR="008D3F11" w:rsidRPr="00C35798" w14:paraId="459B8E5D" w14:textId="77777777" w:rsidTr="0014344A">
        <w:trPr>
          <w:trHeight w:val="20"/>
          <w:jc w:val="center"/>
        </w:trPr>
        <w:tc>
          <w:tcPr>
            <w:tcW w:w="0" w:type="auto"/>
            <w:shd w:val="clear" w:color="auto" w:fill="auto"/>
            <w:noWrap/>
            <w:vAlign w:val="center"/>
            <w:hideMark/>
          </w:tcPr>
          <w:p w14:paraId="4335DBE6"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Periodo</w:t>
            </w:r>
          </w:p>
        </w:tc>
        <w:tc>
          <w:tcPr>
            <w:tcW w:w="0" w:type="auto"/>
            <w:shd w:val="clear" w:color="auto" w:fill="auto"/>
            <w:noWrap/>
            <w:vAlign w:val="center"/>
            <w:hideMark/>
          </w:tcPr>
          <w:p w14:paraId="0441E531"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2016</w:t>
            </w:r>
          </w:p>
        </w:tc>
        <w:tc>
          <w:tcPr>
            <w:tcW w:w="0" w:type="auto"/>
            <w:shd w:val="clear" w:color="auto" w:fill="auto"/>
            <w:noWrap/>
            <w:vAlign w:val="center"/>
            <w:hideMark/>
          </w:tcPr>
          <w:p w14:paraId="6F024C15"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2017</w:t>
            </w:r>
          </w:p>
        </w:tc>
        <w:tc>
          <w:tcPr>
            <w:tcW w:w="0" w:type="auto"/>
            <w:shd w:val="clear" w:color="auto" w:fill="auto"/>
            <w:noWrap/>
            <w:vAlign w:val="center"/>
            <w:hideMark/>
          </w:tcPr>
          <w:p w14:paraId="462DC62D"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2018</w:t>
            </w:r>
          </w:p>
        </w:tc>
        <w:tc>
          <w:tcPr>
            <w:tcW w:w="0" w:type="auto"/>
            <w:shd w:val="clear" w:color="auto" w:fill="auto"/>
            <w:noWrap/>
            <w:vAlign w:val="center"/>
            <w:hideMark/>
          </w:tcPr>
          <w:p w14:paraId="6518929F"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2019</w:t>
            </w:r>
          </w:p>
        </w:tc>
        <w:tc>
          <w:tcPr>
            <w:tcW w:w="0" w:type="auto"/>
            <w:shd w:val="clear" w:color="auto" w:fill="auto"/>
            <w:noWrap/>
            <w:vAlign w:val="center"/>
            <w:hideMark/>
          </w:tcPr>
          <w:p w14:paraId="7ABDDBA3"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2020</w:t>
            </w:r>
          </w:p>
        </w:tc>
        <w:tc>
          <w:tcPr>
            <w:tcW w:w="0" w:type="auto"/>
            <w:shd w:val="clear" w:color="auto" w:fill="auto"/>
            <w:noWrap/>
            <w:vAlign w:val="center"/>
            <w:hideMark/>
          </w:tcPr>
          <w:p w14:paraId="60A00269"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2021</w:t>
            </w:r>
          </w:p>
        </w:tc>
        <w:tc>
          <w:tcPr>
            <w:tcW w:w="0" w:type="auto"/>
            <w:shd w:val="clear" w:color="auto" w:fill="auto"/>
            <w:noWrap/>
            <w:vAlign w:val="center"/>
            <w:hideMark/>
          </w:tcPr>
          <w:p w14:paraId="75895C45"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2022</w:t>
            </w:r>
          </w:p>
        </w:tc>
        <w:tc>
          <w:tcPr>
            <w:tcW w:w="0" w:type="auto"/>
            <w:shd w:val="clear" w:color="auto" w:fill="auto"/>
            <w:noWrap/>
            <w:vAlign w:val="center"/>
            <w:hideMark/>
          </w:tcPr>
          <w:p w14:paraId="31A5B303"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Min</w:t>
            </w:r>
          </w:p>
        </w:tc>
        <w:tc>
          <w:tcPr>
            <w:tcW w:w="0" w:type="auto"/>
            <w:shd w:val="clear" w:color="auto" w:fill="auto"/>
            <w:noWrap/>
            <w:vAlign w:val="center"/>
            <w:hideMark/>
          </w:tcPr>
          <w:p w14:paraId="3CD13BF4"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Max</w:t>
            </w:r>
          </w:p>
        </w:tc>
        <w:tc>
          <w:tcPr>
            <w:tcW w:w="0" w:type="auto"/>
            <w:shd w:val="clear" w:color="auto" w:fill="auto"/>
            <w:noWrap/>
            <w:vAlign w:val="center"/>
            <w:hideMark/>
          </w:tcPr>
          <w:p w14:paraId="41F5CC84"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Promedio</w:t>
            </w:r>
          </w:p>
        </w:tc>
        <w:tc>
          <w:tcPr>
            <w:tcW w:w="0" w:type="auto"/>
            <w:shd w:val="clear" w:color="auto" w:fill="auto"/>
            <w:noWrap/>
            <w:vAlign w:val="center"/>
            <w:hideMark/>
          </w:tcPr>
          <w:p w14:paraId="0DB3CBBB" w14:textId="77777777" w:rsidR="008D3F11" w:rsidRPr="0014344A" w:rsidRDefault="008D3F11"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Diferencia</w:t>
            </w:r>
          </w:p>
        </w:tc>
      </w:tr>
      <w:tr w:rsidR="008D3F11" w:rsidRPr="00C35798" w14:paraId="5FC25FEB" w14:textId="77777777" w:rsidTr="0014344A">
        <w:trPr>
          <w:trHeight w:val="20"/>
          <w:jc w:val="center"/>
        </w:trPr>
        <w:tc>
          <w:tcPr>
            <w:tcW w:w="0" w:type="auto"/>
            <w:shd w:val="clear" w:color="auto" w:fill="auto"/>
            <w:noWrap/>
            <w:vAlign w:val="center"/>
            <w:hideMark/>
          </w:tcPr>
          <w:p w14:paraId="7BB15FEC" w14:textId="77777777" w:rsidR="008D3F11" w:rsidRPr="0014344A" w:rsidRDefault="008D3F11"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Rotación de Inventario (Días)</w:t>
            </w:r>
          </w:p>
        </w:tc>
        <w:tc>
          <w:tcPr>
            <w:tcW w:w="0" w:type="auto"/>
            <w:shd w:val="clear" w:color="auto" w:fill="auto"/>
            <w:noWrap/>
            <w:vAlign w:val="center"/>
            <w:hideMark/>
          </w:tcPr>
          <w:p w14:paraId="5EB9CE47"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75</w:t>
            </w:r>
          </w:p>
        </w:tc>
        <w:tc>
          <w:tcPr>
            <w:tcW w:w="0" w:type="auto"/>
            <w:shd w:val="clear" w:color="auto" w:fill="auto"/>
            <w:noWrap/>
            <w:vAlign w:val="center"/>
            <w:hideMark/>
          </w:tcPr>
          <w:p w14:paraId="192B6937"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78</w:t>
            </w:r>
          </w:p>
        </w:tc>
        <w:tc>
          <w:tcPr>
            <w:tcW w:w="0" w:type="auto"/>
            <w:shd w:val="clear" w:color="auto" w:fill="auto"/>
            <w:noWrap/>
            <w:vAlign w:val="center"/>
            <w:hideMark/>
          </w:tcPr>
          <w:p w14:paraId="31701A47"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71</w:t>
            </w:r>
          </w:p>
        </w:tc>
        <w:tc>
          <w:tcPr>
            <w:tcW w:w="0" w:type="auto"/>
            <w:shd w:val="clear" w:color="auto" w:fill="auto"/>
            <w:noWrap/>
            <w:vAlign w:val="center"/>
            <w:hideMark/>
          </w:tcPr>
          <w:p w14:paraId="34ACF195"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69</w:t>
            </w:r>
          </w:p>
        </w:tc>
        <w:tc>
          <w:tcPr>
            <w:tcW w:w="0" w:type="auto"/>
            <w:shd w:val="clear" w:color="auto" w:fill="auto"/>
            <w:noWrap/>
            <w:vAlign w:val="center"/>
            <w:hideMark/>
          </w:tcPr>
          <w:p w14:paraId="69BCA829"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69</w:t>
            </w:r>
          </w:p>
        </w:tc>
        <w:tc>
          <w:tcPr>
            <w:tcW w:w="0" w:type="auto"/>
            <w:shd w:val="clear" w:color="auto" w:fill="auto"/>
            <w:noWrap/>
            <w:vAlign w:val="center"/>
            <w:hideMark/>
          </w:tcPr>
          <w:p w14:paraId="058C0E3B"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75</w:t>
            </w:r>
          </w:p>
        </w:tc>
        <w:tc>
          <w:tcPr>
            <w:tcW w:w="0" w:type="auto"/>
            <w:shd w:val="clear" w:color="auto" w:fill="auto"/>
            <w:noWrap/>
            <w:vAlign w:val="center"/>
            <w:hideMark/>
          </w:tcPr>
          <w:p w14:paraId="690A9F09"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76</w:t>
            </w:r>
          </w:p>
        </w:tc>
        <w:tc>
          <w:tcPr>
            <w:tcW w:w="0" w:type="auto"/>
            <w:shd w:val="clear" w:color="auto" w:fill="auto"/>
            <w:noWrap/>
            <w:vAlign w:val="center"/>
            <w:hideMark/>
          </w:tcPr>
          <w:p w14:paraId="5783FF8C"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69</w:t>
            </w:r>
          </w:p>
        </w:tc>
        <w:tc>
          <w:tcPr>
            <w:tcW w:w="0" w:type="auto"/>
            <w:shd w:val="clear" w:color="auto" w:fill="auto"/>
            <w:noWrap/>
            <w:vAlign w:val="center"/>
            <w:hideMark/>
          </w:tcPr>
          <w:p w14:paraId="7DEF918C"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78</w:t>
            </w:r>
          </w:p>
        </w:tc>
        <w:tc>
          <w:tcPr>
            <w:tcW w:w="0" w:type="auto"/>
            <w:shd w:val="clear" w:color="auto" w:fill="auto"/>
            <w:noWrap/>
            <w:vAlign w:val="center"/>
            <w:hideMark/>
          </w:tcPr>
          <w:p w14:paraId="6AAF9314"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73</w:t>
            </w:r>
          </w:p>
        </w:tc>
        <w:tc>
          <w:tcPr>
            <w:tcW w:w="0" w:type="auto"/>
            <w:shd w:val="clear" w:color="auto" w:fill="auto"/>
            <w:noWrap/>
            <w:vAlign w:val="center"/>
            <w:hideMark/>
          </w:tcPr>
          <w:p w14:paraId="6CAA63C5"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w:t>
            </w:r>
          </w:p>
        </w:tc>
      </w:tr>
      <w:tr w:rsidR="008D3F11" w:rsidRPr="00C35798" w14:paraId="019AEF6D" w14:textId="77777777" w:rsidTr="0014344A">
        <w:trPr>
          <w:trHeight w:val="20"/>
          <w:jc w:val="center"/>
        </w:trPr>
        <w:tc>
          <w:tcPr>
            <w:tcW w:w="0" w:type="auto"/>
            <w:shd w:val="clear" w:color="auto" w:fill="auto"/>
            <w:noWrap/>
            <w:vAlign w:val="center"/>
            <w:hideMark/>
          </w:tcPr>
          <w:p w14:paraId="3EE6B52E" w14:textId="77777777" w:rsidR="008D3F11" w:rsidRPr="0014344A" w:rsidRDefault="008D3F11"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Rotación de cartera (Días)</w:t>
            </w:r>
          </w:p>
        </w:tc>
        <w:tc>
          <w:tcPr>
            <w:tcW w:w="0" w:type="auto"/>
            <w:shd w:val="clear" w:color="auto" w:fill="auto"/>
            <w:noWrap/>
            <w:vAlign w:val="center"/>
            <w:hideMark/>
          </w:tcPr>
          <w:p w14:paraId="33C17463"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65</w:t>
            </w:r>
          </w:p>
        </w:tc>
        <w:tc>
          <w:tcPr>
            <w:tcW w:w="0" w:type="auto"/>
            <w:shd w:val="clear" w:color="auto" w:fill="auto"/>
            <w:noWrap/>
            <w:vAlign w:val="center"/>
            <w:hideMark/>
          </w:tcPr>
          <w:p w14:paraId="1F9AC92B"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74</w:t>
            </w:r>
          </w:p>
        </w:tc>
        <w:tc>
          <w:tcPr>
            <w:tcW w:w="0" w:type="auto"/>
            <w:shd w:val="clear" w:color="auto" w:fill="auto"/>
            <w:noWrap/>
            <w:vAlign w:val="center"/>
            <w:hideMark/>
          </w:tcPr>
          <w:p w14:paraId="102429E0"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70</w:t>
            </w:r>
          </w:p>
        </w:tc>
        <w:tc>
          <w:tcPr>
            <w:tcW w:w="0" w:type="auto"/>
            <w:shd w:val="clear" w:color="auto" w:fill="auto"/>
            <w:noWrap/>
            <w:vAlign w:val="center"/>
            <w:hideMark/>
          </w:tcPr>
          <w:p w14:paraId="56673324"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65</w:t>
            </w:r>
          </w:p>
        </w:tc>
        <w:tc>
          <w:tcPr>
            <w:tcW w:w="0" w:type="auto"/>
            <w:shd w:val="clear" w:color="auto" w:fill="auto"/>
            <w:noWrap/>
            <w:vAlign w:val="center"/>
            <w:hideMark/>
          </w:tcPr>
          <w:p w14:paraId="5021D1D5"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64</w:t>
            </w:r>
          </w:p>
        </w:tc>
        <w:tc>
          <w:tcPr>
            <w:tcW w:w="0" w:type="auto"/>
            <w:shd w:val="clear" w:color="auto" w:fill="auto"/>
            <w:noWrap/>
            <w:vAlign w:val="center"/>
            <w:hideMark/>
          </w:tcPr>
          <w:p w14:paraId="3C7BA57B"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58</w:t>
            </w:r>
          </w:p>
        </w:tc>
        <w:tc>
          <w:tcPr>
            <w:tcW w:w="0" w:type="auto"/>
            <w:shd w:val="clear" w:color="auto" w:fill="auto"/>
            <w:noWrap/>
            <w:vAlign w:val="center"/>
            <w:hideMark/>
          </w:tcPr>
          <w:p w14:paraId="6E883600"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56</w:t>
            </w:r>
          </w:p>
        </w:tc>
        <w:tc>
          <w:tcPr>
            <w:tcW w:w="0" w:type="auto"/>
            <w:shd w:val="clear" w:color="auto" w:fill="auto"/>
            <w:noWrap/>
            <w:vAlign w:val="center"/>
            <w:hideMark/>
          </w:tcPr>
          <w:p w14:paraId="7A8C816D"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56</w:t>
            </w:r>
          </w:p>
        </w:tc>
        <w:tc>
          <w:tcPr>
            <w:tcW w:w="0" w:type="auto"/>
            <w:shd w:val="clear" w:color="auto" w:fill="auto"/>
            <w:noWrap/>
            <w:vAlign w:val="center"/>
            <w:hideMark/>
          </w:tcPr>
          <w:p w14:paraId="7B4E344C"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74</w:t>
            </w:r>
          </w:p>
        </w:tc>
        <w:tc>
          <w:tcPr>
            <w:tcW w:w="0" w:type="auto"/>
            <w:shd w:val="clear" w:color="auto" w:fill="auto"/>
            <w:noWrap/>
            <w:vAlign w:val="center"/>
            <w:hideMark/>
          </w:tcPr>
          <w:p w14:paraId="023931A3"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65</w:t>
            </w:r>
          </w:p>
        </w:tc>
        <w:tc>
          <w:tcPr>
            <w:tcW w:w="0" w:type="auto"/>
            <w:shd w:val="clear" w:color="auto" w:fill="auto"/>
            <w:noWrap/>
            <w:vAlign w:val="center"/>
            <w:hideMark/>
          </w:tcPr>
          <w:p w14:paraId="6731EE96"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-9</w:t>
            </w:r>
          </w:p>
        </w:tc>
      </w:tr>
      <w:tr w:rsidR="008D3F11" w:rsidRPr="00C35798" w14:paraId="372A3C4F" w14:textId="77777777" w:rsidTr="0014344A">
        <w:trPr>
          <w:trHeight w:val="20"/>
          <w:jc w:val="center"/>
        </w:trPr>
        <w:tc>
          <w:tcPr>
            <w:tcW w:w="0" w:type="auto"/>
            <w:shd w:val="clear" w:color="auto" w:fill="auto"/>
            <w:noWrap/>
            <w:vAlign w:val="center"/>
            <w:hideMark/>
          </w:tcPr>
          <w:p w14:paraId="2FDFE78A" w14:textId="77777777" w:rsidR="008D3F11" w:rsidRPr="0014344A" w:rsidRDefault="008D3F11"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Rotación de proveedores (Días)</w:t>
            </w:r>
          </w:p>
        </w:tc>
        <w:tc>
          <w:tcPr>
            <w:tcW w:w="0" w:type="auto"/>
            <w:shd w:val="clear" w:color="auto" w:fill="auto"/>
            <w:noWrap/>
            <w:vAlign w:val="center"/>
            <w:hideMark/>
          </w:tcPr>
          <w:p w14:paraId="3BC262CA"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99</w:t>
            </w:r>
          </w:p>
        </w:tc>
        <w:tc>
          <w:tcPr>
            <w:tcW w:w="0" w:type="auto"/>
            <w:shd w:val="clear" w:color="auto" w:fill="auto"/>
            <w:noWrap/>
            <w:vAlign w:val="center"/>
            <w:hideMark/>
          </w:tcPr>
          <w:p w14:paraId="2B54B391"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110</w:t>
            </w:r>
          </w:p>
        </w:tc>
        <w:tc>
          <w:tcPr>
            <w:tcW w:w="0" w:type="auto"/>
            <w:shd w:val="clear" w:color="auto" w:fill="auto"/>
            <w:noWrap/>
            <w:vAlign w:val="center"/>
            <w:hideMark/>
          </w:tcPr>
          <w:p w14:paraId="6B798B1A"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107</w:t>
            </w:r>
          </w:p>
        </w:tc>
        <w:tc>
          <w:tcPr>
            <w:tcW w:w="0" w:type="auto"/>
            <w:shd w:val="clear" w:color="auto" w:fill="auto"/>
            <w:noWrap/>
            <w:vAlign w:val="center"/>
            <w:hideMark/>
          </w:tcPr>
          <w:p w14:paraId="30DA64F3"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103</w:t>
            </w:r>
          </w:p>
        </w:tc>
        <w:tc>
          <w:tcPr>
            <w:tcW w:w="0" w:type="auto"/>
            <w:shd w:val="clear" w:color="auto" w:fill="auto"/>
            <w:noWrap/>
            <w:vAlign w:val="center"/>
            <w:hideMark/>
          </w:tcPr>
          <w:p w14:paraId="455F8589"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103</w:t>
            </w:r>
          </w:p>
        </w:tc>
        <w:tc>
          <w:tcPr>
            <w:tcW w:w="0" w:type="auto"/>
            <w:shd w:val="clear" w:color="auto" w:fill="auto"/>
            <w:noWrap/>
            <w:vAlign w:val="center"/>
            <w:hideMark/>
          </w:tcPr>
          <w:p w14:paraId="7C92A8A4"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104</w:t>
            </w:r>
          </w:p>
        </w:tc>
        <w:tc>
          <w:tcPr>
            <w:tcW w:w="0" w:type="auto"/>
            <w:shd w:val="clear" w:color="auto" w:fill="auto"/>
            <w:noWrap/>
            <w:vAlign w:val="center"/>
            <w:hideMark/>
          </w:tcPr>
          <w:p w14:paraId="215C8D8C"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97</w:t>
            </w:r>
          </w:p>
        </w:tc>
        <w:tc>
          <w:tcPr>
            <w:tcW w:w="0" w:type="auto"/>
            <w:shd w:val="clear" w:color="auto" w:fill="auto"/>
            <w:noWrap/>
            <w:vAlign w:val="center"/>
            <w:hideMark/>
          </w:tcPr>
          <w:p w14:paraId="76AEF1F9"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97</w:t>
            </w:r>
          </w:p>
        </w:tc>
        <w:tc>
          <w:tcPr>
            <w:tcW w:w="0" w:type="auto"/>
            <w:shd w:val="clear" w:color="auto" w:fill="auto"/>
            <w:noWrap/>
            <w:vAlign w:val="center"/>
            <w:hideMark/>
          </w:tcPr>
          <w:p w14:paraId="3085CD8D"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110</w:t>
            </w:r>
          </w:p>
        </w:tc>
        <w:tc>
          <w:tcPr>
            <w:tcW w:w="0" w:type="auto"/>
            <w:shd w:val="clear" w:color="auto" w:fill="auto"/>
            <w:noWrap/>
            <w:vAlign w:val="center"/>
            <w:hideMark/>
          </w:tcPr>
          <w:p w14:paraId="182B69E0"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103</w:t>
            </w:r>
          </w:p>
        </w:tc>
        <w:tc>
          <w:tcPr>
            <w:tcW w:w="0" w:type="auto"/>
            <w:shd w:val="clear" w:color="auto" w:fill="auto"/>
            <w:noWrap/>
            <w:vAlign w:val="center"/>
            <w:hideMark/>
          </w:tcPr>
          <w:p w14:paraId="54896D12"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-2</w:t>
            </w:r>
          </w:p>
        </w:tc>
      </w:tr>
      <w:tr w:rsidR="008D3F11" w:rsidRPr="00C35798" w14:paraId="75535993" w14:textId="77777777" w:rsidTr="0014344A">
        <w:trPr>
          <w:trHeight w:val="20"/>
          <w:jc w:val="center"/>
        </w:trPr>
        <w:tc>
          <w:tcPr>
            <w:tcW w:w="0" w:type="auto"/>
            <w:shd w:val="clear" w:color="auto" w:fill="auto"/>
            <w:noWrap/>
            <w:vAlign w:val="center"/>
            <w:hideMark/>
          </w:tcPr>
          <w:p w14:paraId="6A586456" w14:textId="77777777" w:rsidR="008D3F11" w:rsidRPr="0014344A" w:rsidRDefault="008D3F11"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Ciclo de caja de efectivo (CCE)</w:t>
            </w:r>
          </w:p>
        </w:tc>
        <w:tc>
          <w:tcPr>
            <w:tcW w:w="0" w:type="auto"/>
            <w:shd w:val="clear" w:color="auto" w:fill="auto"/>
            <w:noWrap/>
            <w:vAlign w:val="center"/>
            <w:hideMark/>
          </w:tcPr>
          <w:p w14:paraId="5C0E1593"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41</w:t>
            </w:r>
          </w:p>
        </w:tc>
        <w:tc>
          <w:tcPr>
            <w:tcW w:w="0" w:type="auto"/>
            <w:shd w:val="clear" w:color="auto" w:fill="auto"/>
            <w:noWrap/>
            <w:vAlign w:val="center"/>
            <w:hideMark/>
          </w:tcPr>
          <w:p w14:paraId="235E9C8B"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42</w:t>
            </w:r>
          </w:p>
        </w:tc>
        <w:tc>
          <w:tcPr>
            <w:tcW w:w="0" w:type="auto"/>
            <w:shd w:val="clear" w:color="auto" w:fill="auto"/>
            <w:noWrap/>
            <w:vAlign w:val="center"/>
            <w:hideMark/>
          </w:tcPr>
          <w:p w14:paraId="7FA848CC"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35</w:t>
            </w:r>
          </w:p>
        </w:tc>
        <w:tc>
          <w:tcPr>
            <w:tcW w:w="0" w:type="auto"/>
            <w:shd w:val="clear" w:color="auto" w:fill="auto"/>
            <w:noWrap/>
            <w:vAlign w:val="center"/>
            <w:hideMark/>
          </w:tcPr>
          <w:p w14:paraId="75FDC52C"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31</w:t>
            </w:r>
          </w:p>
        </w:tc>
        <w:tc>
          <w:tcPr>
            <w:tcW w:w="0" w:type="auto"/>
            <w:shd w:val="clear" w:color="auto" w:fill="auto"/>
            <w:noWrap/>
            <w:vAlign w:val="center"/>
            <w:hideMark/>
          </w:tcPr>
          <w:p w14:paraId="23822DFC"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31</w:t>
            </w:r>
          </w:p>
        </w:tc>
        <w:tc>
          <w:tcPr>
            <w:tcW w:w="0" w:type="auto"/>
            <w:shd w:val="clear" w:color="auto" w:fill="auto"/>
            <w:noWrap/>
            <w:vAlign w:val="center"/>
            <w:hideMark/>
          </w:tcPr>
          <w:p w14:paraId="542ADFE8"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28</w:t>
            </w:r>
          </w:p>
        </w:tc>
        <w:tc>
          <w:tcPr>
            <w:tcW w:w="0" w:type="auto"/>
            <w:shd w:val="clear" w:color="auto" w:fill="auto"/>
            <w:noWrap/>
            <w:vAlign w:val="center"/>
            <w:hideMark/>
          </w:tcPr>
          <w:p w14:paraId="0BDCAC70"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35</w:t>
            </w:r>
          </w:p>
        </w:tc>
        <w:tc>
          <w:tcPr>
            <w:tcW w:w="0" w:type="auto"/>
            <w:shd w:val="clear" w:color="auto" w:fill="auto"/>
            <w:noWrap/>
            <w:vAlign w:val="center"/>
            <w:hideMark/>
          </w:tcPr>
          <w:p w14:paraId="2BD00068"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28</w:t>
            </w:r>
          </w:p>
        </w:tc>
        <w:tc>
          <w:tcPr>
            <w:tcW w:w="0" w:type="auto"/>
            <w:shd w:val="clear" w:color="auto" w:fill="auto"/>
            <w:noWrap/>
            <w:vAlign w:val="center"/>
            <w:hideMark/>
          </w:tcPr>
          <w:p w14:paraId="65AC66B4"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42</w:t>
            </w:r>
          </w:p>
        </w:tc>
        <w:tc>
          <w:tcPr>
            <w:tcW w:w="0" w:type="auto"/>
            <w:shd w:val="clear" w:color="auto" w:fill="auto"/>
            <w:noWrap/>
            <w:vAlign w:val="center"/>
            <w:hideMark/>
          </w:tcPr>
          <w:p w14:paraId="21ECE7D3"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35</w:t>
            </w:r>
          </w:p>
        </w:tc>
        <w:tc>
          <w:tcPr>
            <w:tcW w:w="0" w:type="auto"/>
            <w:shd w:val="clear" w:color="auto" w:fill="auto"/>
            <w:noWrap/>
            <w:vAlign w:val="center"/>
            <w:hideMark/>
          </w:tcPr>
          <w:p w14:paraId="18865ABA" w14:textId="77777777" w:rsidR="008D3F11" w:rsidRPr="0014344A" w:rsidRDefault="008D3F11"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-6</w:t>
            </w:r>
          </w:p>
        </w:tc>
      </w:tr>
    </w:tbl>
    <w:p w14:paraId="3580F557" w14:textId="19726FB6" w:rsidR="008D3F11" w:rsidRDefault="008D3F11" w:rsidP="00A630DC">
      <w:pPr>
        <w:tabs>
          <w:tab w:val="left" w:pos="284"/>
          <w:tab w:val="left" w:pos="426"/>
        </w:tabs>
        <w:spacing w:after="0"/>
        <w:rPr>
          <w:rFonts w:ascii="Times New Roman" w:hAnsi="Times New Roman" w:cs="Times New Roman"/>
          <w:bCs/>
          <w:sz w:val="20"/>
          <w:szCs w:val="20"/>
          <w:lang w:val="es-ES"/>
        </w:rPr>
      </w:pPr>
      <w:r w:rsidRPr="008D3F11">
        <w:rPr>
          <w:rFonts w:ascii="Times New Roman" w:hAnsi="Times New Roman" w:cs="Times New Roman"/>
          <w:b/>
          <w:bCs/>
          <w:sz w:val="20"/>
          <w:szCs w:val="20"/>
          <w:lang w:val="es-ES"/>
        </w:rPr>
        <w:t xml:space="preserve">Fuente: </w:t>
      </w:r>
      <w:r>
        <w:rPr>
          <w:rFonts w:ascii="Times New Roman" w:hAnsi="Times New Roman" w:cs="Times New Roman"/>
          <w:bCs/>
          <w:sz w:val="20"/>
          <w:szCs w:val="20"/>
          <w:lang w:val="es-ES"/>
        </w:rPr>
        <w:t>e</w:t>
      </w:r>
      <w:r w:rsidRPr="008D3F11">
        <w:rPr>
          <w:rFonts w:ascii="Times New Roman" w:hAnsi="Times New Roman" w:cs="Times New Roman"/>
          <w:bCs/>
          <w:sz w:val="20"/>
          <w:szCs w:val="20"/>
          <w:lang w:val="es-ES"/>
        </w:rPr>
        <w:t>laboración propia a partir de la base de datos de la Superintendencia de Sociedades SIIS</w:t>
      </w:r>
      <w:r w:rsidR="00C35798">
        <w:rPr>
          <w:rFonts w:ascii="Times New Roman" w:hAnsi="Times New Roman" w:cs="Times New Roman"/>
          <w:bCs/>
          <w:sz w:val="20"/>
          <w:szCs w:val="20"/>
          <w:lang w:val="es-ES"/>
        </w:rPr>
        <w:t>.</w:t>
      </w:r>
    </w:p>
    <w:p w14:paraId="21139462" w14:textId="77777777" w:rsidR="00C35798" w:rsidRDefault="00C35798" w:rsidP="00A630DC">
      <w:pPr>
        <w:spacing w:after="0"/>
        <w:ind w:firstLine="284"/>
        <w:rPr>
          <w:rFonts w:ascii="Times New Roman" w:eastAsia="Arial" w:hAnsi="Times New Roman" w:cs="Times New Roman"/>
          <w:szCs w:val="24"/>
          <w:lang w:val="es-ES" w:eastAsia="es-CO"/>
        </w:rPr>
      </w:pPr>
    </w:p>
    <w:p w14:paraId="2E395460" w14:textId="48D58A99" w:rsidR="00C35798" w:rsidRPr="00F64A46" w:rsidRDefault="00C35798" w:rsidP="00A630DC">
      <w:pPr>
        <w:spacing w:after="0"/>
        <w:ind w:firstLine="284"/>
        <w:rPr>
          <w:rFonts w:ascii="Times New Roman" w:eastAsia="Arial" w:hAnsi="Times New Roman" w:cs="Times New Roman"/>
          <w:szCs w:val="24"/>
          <w:lang w:val="es-ES" w:eastAsia="es-CO"/>
        </w:rPr>
      </w:pPr>
      <w:r w:rsidRPr="00F64A46">
        <w:rPr>
          <w:rFonts w:ascii="Times New Roman" w:eastAsia="Arial" w:hAnsi="Times New Roman" w:cs="Times New Roman"/>
          <w:szCs w:val="24"/>
          <w:lang w:val="es-ES" w:eastAsia="es-CO"/>
        </w:rPr>
        <w:t>En la tabla 3, se observa una diferencia de 6,25 puntos porcentuales en el margen bruto entre los años 2016 y 2022, disminuyendo de 25,34% a 19,09%. El rango de variación osciló entre un mínimo de 19,09% y un máximo de 26,24%, con un promedio de 22,68%. Esta disminución sugiere que el sector está experimentando dificultades para cubrir las compras asociados con la comercialización.</w:t>
      </w:r>
      <w:r>
        <w:rPr>
          <w:rFonts w:ascii="Times New Roman" w:eastAsia="Arial" w:hAnsi="Times New Roman" w:cs="Times New Roman"/>
          <w:szCs w:val="24"/>
          <w:lang w:val="es-ES" w:eastAsia="es-CO"/>
        </w:rPr>
        <w:t xml:space="preserve"> </w:t>
      </w:r>
      <w:r w:rsidRPr="00F64A46">
        <w:rPr>
          <w:rFonts w:ascii="Times New Roman" w:eastAsia="Arial" w:hAnsi="Times New Roman" w:cs="Times New Roman"/>
          <w:szCs w:val="24"/>
          <w:lang w:val="es-ES" w:eastAsia="es-CO"/>
        </w:rPr>
        <w:t>También se nota que el margen operativo pasó de 3,36% en 2016 a 5,04% en 2022, lo que representa una diferencia de 1,68 puntos porcentuales. El rango de variación fluctuó entre un mínimo de 2,73% y un máximo de 5,59%, con un promedio de 3,99%. Esto indica una mejora en la rentabilidad y eficiencia operativa. En consecuencia, se puede concluir que las empresas han demostrado una mayor capacidad para administrar los gastos operativos en lugar que las compras producto de la comercialización, lo que ha contribuido al aumento del margen operativo</w:t>
      </w:r>
      <w:r>
        <w:rPr>
          <w:rFonts w:ascii="Times New Roman" w:eastAsia="Arial" w:hAnsi="Times New Roman" w:cs="Times New Roman"/>
          <w:szCs w:val="24"/>
          <w:lang w:val="es-ES" w:eastAsia="es-CO"/>
        </w:rPr>
        <w:t xml:space="preserve"> </w:t>
      </w:r>
      <w:r w:rsidRPr="00F64A46">
        <w:rPr>
          <w:rFonts w:ascii="Times New Roman" w:eastAsia="Arial" w:hAnsi="Times New Roman" w:cs="Times New Roman"/>
          <w:szCs w:val="24"/>
          <w:lang w:val="es-ES" w:eastAsia="es-CO"/>
        </w:rPr>
        <w:t>(</w:t>
      </w:r>
      <w:r>
        <w:rPr>
          <w:rFonts w:ascii="Times New Roman" w:eastAsia="Arial" w:hAnsi="Times New Roman" w:cs="Times New Roman"/>
          <w:szCs w:val="24"/>
          <w:lang w:val="es-ES" w:eastAsia="es-CO"/>
        </w:rPr>
        <w:t>t</w:t>
      </w:r>
      <w:r w:rsidRPr="00F64A46">
        <w:rPr>
          <w:rFonts w:ascii="Times New Roman" w:eastAsia="Arial" w:hAnsi="Times New Roman" w:cs="Times New Roman"/>
          <w:szCs w:val="24"/>
          <w:lang w:val="es-ES" w:eastAsia="es-CO"/>
        </w:rPr>
        <w:t>abla 3)</w:t>
      </w:r>
      <w:r>
        <w:rPr>
          <w:rFonts w:ascii="Times New Roman" w:eastAsia="Arial" w:hAnsi="Times New Roman" w:cs="Times New Roman"/>
          <w:szCs w:val="24"/>
          <w:lang w:val="es-ES" w:eastAsia="es-CO"/>
        </w:rPr>
        <w:t>.</w:t>
      </w:r>
    </w:p>
    <w:p w14:paraId="47808F39" w14:textId="4FA1E060" w:rsidR="00C35798" w:rsidRPr="00F64A46" w:rsidRDefault="00C35798" w:rsidP="00A630DC">
      <w:pPr>
        <w:spacing w:after="0"/>
        <w:ind w:firstLine="284"/>
        <w:rPr>
          <w:rFonts w:ascii="Times New Roman" w:eastAsia="Arial" w:hAnsi="Times New Roman" w:cs="Times New Roman"/>
          <w:szCs w:val="24"/>
          <w:lang w:val="es-ES" w:eastAsia="es-CO"/>
        </w:rPr>
      </w:pPr>
      <w:r w:rsidRPr="00F64A46">
        <w:rPr>
          <w:rFonts w:ascii="Times New Roman" w:eastAsia="Arial" w:hAnsi="Times New Roman" w:cs="Times New Roman"/>
          <w:szCs w:val="24"/>
          <w:lang w:val="es-ES" w:eastAsia="es-CO"/>
        </w:rPr>
        <w:lastRenderedPageBreak/>
        <w:t>En cuanto a</w:t>
      </w:r>
      <w:r>
        <w:rPr>
          <w:rFonts w:ascii="Times New Roman" w:eastAsia="Arial" w:hAnsi="Times New Roman" w:cs="Times New Roman"/>
          <w:szCs w:val="24"/>
          <w:lang w:val="es-ES" w:eastAsia="es-CO"/>
        </w:rPr>
        <w:t xml:space="preserve">l </w:t>
      </w:r>
      <w:r w:rsidRPr="00F64A46">
        <w:rPr>
          <w:rFonts w:ascii="Times New Roman" w:eastAsia="Arial" w:hAnsi="Times New Roman" w:cs="Times New Roman"/>
          <w:szCs w:val="24"/>
          <w:lang w:val="es-ES" w:eastAsia="es-CO"/>
        </w:rPr>
        <w:t>ROA</w:t>
      </w:r>
      <w:r>
        <w:rPr>
          <w:rFonts w:ascii="Times New Roman" w:eastAsia="Arial" w:hAnsi="Times New Roman" w:cs="Times New Roman"/>
          <w:szCs w:val="24"/>
          <w:lang w:val="es-ES" w:eastAsia="es-CO"/>
        </w:rPr>
        <w:t>,</w:t>
      </w:r>
      <w:r w:rsidRPr="00F64A46">
        <w:rPr>
          <w:rFonts w:ascii="Times New Roman" w:eastAsia="Arial" w:hAnsi="Times New Roman" w:cs="Times New Roman"/>
          <w:szCs w:val="24"/>
          <w:lang w:val="es-ES" w:eastAsia="es-CO"/>
        </w:rPr>
        <w:t xml:space="preserve"> se evidenci</w:t>
      </w:r>
      <w:r>
        <w:rPr>
          <w:rFonts w:ascii="Times New Roman" w:eastAsia="Arial" w:hAnsi="Times New Roman" w:cs="Times New Roman"/>
          <w:szCs w:val="24"/>
          <w:lang w:val="es-ES" w:eastAsia="es-CO"/>
        </w:rPr>
        <w:t>ó</w:t>
      </w:r>
      <w:r w:rsidRPr="00F64A46">
        <w:rPr>
          <w:rFonts w:ascii="Times New Roman" w:eastAsia="Arial" w:hAnsi="Times New Roman" w:cs="Times New Roman"/>
          <w:szCs w:val="24"/>
          <w:lang w:val="es-ES" w:eastAsia="es-CO"/>
        </w:rPr>
        <w:t xml:space="preserve"> un aumento del 0,97% en 2016 al 3,58% en 2022, lo que implica una diferencia de 2,61 puntos porcentuales. El rango de variación fue desde un mínimo del 0,12% hasta un máximo del 4,19% durante el período 2016-2022, con un promedio de 1,67%. Esto sugiere un incremento en la ganancia generada a partir de los activos de la empresa (</w:t>
      </w:r>
      <w:r>
        <w:rPr>
          <w:rFonts w:ascii="Times New Roman" w:eastAsia="Arial" w:hAnsi="Times New Roman" w:cs="Times New Roman"/>
          <w:szCs w:val="24"/>
          <w:lang w:val="es-ES" w:eastAsia="es-CO"/>
        </w:rPr>
        <w:t>t</w:t>
      </w:r>
      <w:r w:rsidRPr="00F64A46">
        <w:rPr>
          <w:rFonts w:ascii="Times New Roman" w:eastAsia="Arial" w:hAnsi="Times New Roman" w:cs="Times New Roman"/>
          <w:szCs w:val="24"/>
          <w:lang w:val="es-ES" w:eastAsia="es-CO"/>
        </w:rPr>
        <w:t>abla 3)</w:t>
      </w:r>
      <w:r>
        <w:rPr>
          <w:rFonts w:ascii="Times New Roman" w:eastAsia="Arial" w:hAnsi="Times New Roman" w:cs="Times New Roman"/>
          <w:szCs w:val="24"/>
          <w:lang w:val="es-ES" w:eastAsia="es-CO"/>
        </w:rPr>
        <w:t xml:space="preserve">. por su parte el </w:t>
      </w:r>
      <w:r w:rsidRPr="00F64A46">
        <w:rPr>
          <w:rFonts w:ascii="Times New Roman" w:eastAsia="Arial" w:hAnsi="Times New Roman" w:cs="Times New Roman"/>
          <w:szCs w:val="24"/>
          <w:lang w:val="es-ES" w:eastAsia="es-CO"/>
        </w:rPr>
        <w:t xml:space="preserve">ROE experimentó un incremento significativo, aumentando del 2,44% en 2016 al 11,74% en 2022. Esta variación implica un aumento de 9,30 puntos porcentuales. Durante el periodo de 2016 a 2022, el ROE osciló entre un mínimo del 0,30% y un máximo del 13,06%, con un promedio de 5,07%. Esto indica una mayor ganancia en relación con el capital invertido por los socios, lo que resulta en una mayor rentabilidad para las grandes empresas del sector comercio. </w:t>
      </w:r>
    </w:p>
    <w:p w14:paraId="2A035DFE" w14:textId="77777777" w:rsidR="00C35798" w:rsidRPr="00F64A46" w:rsidRDefault="00C35798" w:rsidP="00A630DC">
      <w:pPr>
        <w:spacing w:after="0"/>
        <w:ind w:firstLine="284"/>
        <w:rPr>
          <w:rFonts w:ascii="Times New Roman" w:eastAsia="Arial" w:hAnsi="Times New Roman" w:cs="Times New Roman"/>
          <w:szCs w:val="24"/>
          <w:lang w:val="es-ES" w:eastAsia="es-CO"/>
        </w:rPr>
      </w:pPr>
      <w:r w:rsidRPr="00F64A46">
        <w:rPr>
          <w:rFonts w:ascii="Times New Roman" w:eastAsia="Arial" w:hAnsi="Times New Roman" w:cs="Times New Roman"/>
          <w:szCs w:val="24"/>
          <w:lang w:val="es-ES" w:eastAsia="es-CO"/>
        </w:rPr>
        <w:t>En resumen, un incremento en el ROE tiene implicaciones positivas en términos de rentabilidad para los accionistas, eficiencia operativa, capacidad de financiamiento, atracción</w:t>
      </w:r>
      <w:r>
        <w:rPr>
          <w:rFonts w:ascii="Times New Roman" w:eastAsia="Arial" w:hAnsi="Times New Roman" w:cs="Times New Roman"/>
          <w:szCs w:val="24"/>
          <w:lang w:val="es-ES" w:eastAsia="es-CO"/>
        </w:rPr>
        <w:t xml:space="preserve"> </w:t>
      </w:r>
      <w:r w:rsidRPr="00F64A46">
        <w:rPr>
          <w:rFonts w:ascii="Times New Roman" w:eastAsia="Arial" w:hAnsi="Times New Roman" w:cs="Times New Roman"/>
          <w:szCs w:val="24"/>
          <w:lang w:val="es-ES" w:eastAsia="es-CO"/>
        </w:rPr>
        <w:t xml:space="preserve">de inversores, competitividad y confianza de los </w:t>
      </w:r>
      <w:proofErr w:type="spellStart"/>
      <w:r w:rsidRPr="0014344A">
        <w:rPr>
          <w:rFonts w:ascii="Times New Roman" w:eastAsia="Arial" w:hAnsi="Times New Roman" w:cs="Times New Roman"/>
          <w:i/>
          <w:iCs/>
          <w:szCs w:val="24"/>
          <w:lang w:val="es-ES" w:eastAsia="es-CO"/>
        </w:rPr>
        <w:t>stakeholders</w:t>
      </w:r>
      <w:proofErr w:type="spellEnd"/>
      <w:r w:rsidRPr="00F64A46">
        <w:rPr>
          <w:rFonts w:ascii="Times New Roman" w:eastAsia="Arial" w:hAnsi="Times New Roman" w:cs="Times New Roman"/>
          <w:szCs w:val="24"/>
          <w:lang w:val="es-ES" w:eastAsia="es-CO"/>
        </w:rPr>
        <w:t>, lo que en conjunto contribuye al crecimiento y desarrollo sostenible del sector.</w:t>
      </w:r>
    </w:p>
    <w:p w14:paraId="5B8AA183" w14:textId="77777777" w:rsidR="008D3F11" w:rsidRPr="00C35798" w:rsidRDefault="008D3F11" w:rsidP="00A630DC">
      <w:pPr>
        <w:spacing w:after="0"/>
        <w:ind w:firstLine="270"/>
        <w:rPr>
          <w:rFonts w:ascii="Times New Roman" w:hAnsi="Times New Roman" w:cs="Times New Roman"/>
          <w:szCs w:val="24"/>
          <w:lang w:val="es-ES"/>
        </w:rPr>
      </w:pPr>
    </w:p>
    <w:tbl>
      <w:tblPr>
        <w:tblpPr w:leftFromText="141" w:rightFromText="141" w:vertAnchor="text" w:horzAnchor="margin" w:tblpXSpec="center" w:tblpY="326"/>
        <w:tblW w:w="0" w:type="auto"/>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1318"/>
        <w:gridCol w:w="634"/>
        <w:gridCol w:w="634"/>
        <w:gridCol w:w="634"/>
        <w:gridCol w:w="634"/>
        <w:gridCol w:w="634"/>
        <w:gridCol w:w="634"/>
        <w:gridCol w:w="634"/>
        <w:gridCol w:w="634"/>
        <w:gridCol w:w="634"/>
        <w:gridCol w:w="807"/>
        <w:gridCol w:w="607"/>
      </w:tblGrid>
      <w:tr w:rsidR="004903C9" w:rsidRPr="00226598" w14:paraId="09C3187E" w14:textId="77777777" w:rsidTr="0014344A">
        <w:trPr>
          <w:trHeight w:val="23"/>
        </w:trPr>
        <w:tc>
          <w:tcPr>
            <w:tcW w:w="0" w:type="auto"/>
            <w:shd w:val="clear" w:color="auto" w:fill="auto"/>
            <w:noWrap/>
            <w:vAlign w:val="bottom"/>
            <w:hideMark/>
          </w:tcPr>
          <w:p w14:paraId="3F596C5D"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Periodo</w:t>
            </w:r>
          </w:p>
        </w:tc>
        <w:tc>
          <w:tcPr>
            <w:tcW w:w="0" w:type="auto"/>
            <w:shd w:val="clear" w:color="auto" w:fill="auto"/>
            <w:noWrap/>
            <w:vAlign w:val="bottom"/>
            <w:hideMark/>
          </w:tcPr>
          <w:p w14:paraId="649F138F"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2016</w:t>
            </w:r>
          </w:p>
        </w:tc>
        <w:tc>
          <w:tcPr>
            <w:tcW w:w="0" w:type="auto"/>
            <w:shd w:val="clear" w:color="auto" w:fill="auto"/>
            <w:noWrap/>
            <w:vAlign w:val="bottom"/>
            <w:hideMark/>
          </w:tcPr>
          <w:p w14:paraId="45BE44BE"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2017</w:t>
            </w:r>
          </w:p>
        </w:tc>
        <w:tc>
          <w:tcPr>
            <w:tcW w:w="0" w:type="auto"/>
            <w:shd w:val="clear" w:color="auto" w:fill="auto"/>
            <w:noWrap/>
            <w:vAlign w:val="bottom"/>
            <w:hideMark/>
          </w:tcPr>
          <w:p w14:paraId="2F60072A"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2018</w:t>
            </w:r>
          </w:p>
        </w:tc>
        <w:tc>
          <w:tcPr>
            <w:tcW w:w="0" w:type="auto"/>
            <w:shd w:val="clear" w:color="auto" w:fill="auto"/>
            <w:noWrap/>
            <w:vAlign w:val="bottom"/>
            <w:hideMark/>
          </w:tcPr>
          <w:p w14:paraId="11FF9D71"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2019</w:t>
            </w:r>
          </w:p>
        </w:tc>
        <w:tc>
          <w:tcPr>
            <w:tcW w:w="0" w:type="auto"/>
            <w:shd w:val="clear" w:color="auto" w:fill="auto"/>
            <w:noWrap/>
            <w:vAlign w:val="bottom"/>
            <w:hideMark/>
          </w:tcPr>
          <w:p w14:paraId="1647C0F5"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2020</w:t>
            </w:r>
          </w:p>
        </w:tc>
        <w:tc>
          <w:tcPr>
            <w:tcW w:w="0" w:type="auto"/>
            <w:shd w:val="clear" w:color="auto" w:fill="auto"/>
            <w:noWrap/>
            <w:vAlign w:val="bottom"/>
            <w:hideMark/>
          </w:tcPr>
          <w:p w14:paraId="59C246BA"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2021</w:t>
            </w:r>
          </w:p>
        </w:tc>
        <w:tc>
          <w:tcPr>
            <w:tcW w:w="0" w:type="auto"/>
            <w:shd w:val="clear" w:color="auto" w:fill="auto"/>
            <w:noWrap/>
            <w:vAlign w:val="bottom"/>
            <w:hideMark/>
          </w:tcPr>
          <w:p w14:paraId="0D20319A"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2022</w:t>
            </w:r>
          </w:p>
        </w:tc>
        <w:tc>
          <w:tcPr>
            <w:tcW w:w="0" w:type="auto"/>
            <w:shd w:val="clear" w:color="auto" w:fill="auto"/>
            <w:noWrap/>
            <w:vAlign w:val="bottom"/>
            <w:hideMark/>
          </w:tcPr>
          <w:p w14:paraId="271BA73B"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Min</w:t>
            </w:r>
          </w:p>
        </w:tc>
        <w:tc>
          <w:tcPr>
            <w:tcW w:w="0" w:type="auto"/>
            <w:shd w:val="clear" w:color="auto" w:fill="auto"/>
            <w:noWrap/>
            <w:vAlign w:val="bottom"/>
            <w:hideMark/>
          </w:tcPr>
          <w:p w14:paraId="6AEB4471"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Max</w:t>
            </w:r>
          </w:p>
        </w:tc>
        <w:tc>
          <w:tcPr>
            <w:tcW w:w="0" w:type="auto"/>
            <w:shd w:val="clear" w:color="auto" w:fill="auto"/>
            <w:noWrap/>
            <w:vAlign w:val="bottom"/>
            <w:hideMark/>
          </w:tcPr>
          <w:p w14:paraId="5EADA43A" w14:textId="77777777" w:rsidR="009B18D0" w:rsidRPr="0014344A" w:rsidRDefault="009B18D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Promedio</w:t>
            </w:r>
          </w:p>
        </w:tc>
        <w:tc>
          <w:tcPr>
            <w:tcW w:w="0" w:type="auto"/>
            <w:shd w:val="clear" w:color="auto" w:fill="auto"/>
            <w:noWrap/>
            <w:vAlign w:val="bottom"/>
            <w:hideMark/>
          </w:tcPr>
          <w:p w14:paraId="4682249B" w14:textId="3ED98939" w:rsidR="009B18D0" w:rsidRPr="0014344A" w:rsidRDefault="004903C9" w:rsidP="00A630DC">
            <w:pPr>
              <w:spacing w:after="0"/>
              <w:jc w:val="center"/>
              <w:rPr>
                <w:rFonts w:ascii="Times New Roman" w:hAnsi="Times New Roman" w:cs="Times New Roman"/>
                <w:b/>
                <w:bCs/>
                <w:color w:val="000000"/>
                <w:sz w:val="16"/>
                <w:szCs w:val="16"/>
                <w:lang w:eastAsia="es-CO"/>
              </w:rPr>
            </w:pPr>
            <w:proofErr w:type="spellStart"/>
            <w:r w:rsidRPr="0014344A">
              <w:rPr>
                <w:rFonts w:ascii="Times New Roman" w:hAnsi="Times New Roman" w:cs="Times New Roman"/>
                <w:b/>
                <w:bCs/>
                <w:color w:val="000000"/>
                <w:sz w:val="16"/>
                <w:szCs w:val="16"/>
                <w:lang w:eastAsia="es-CO"/>
              </w:rPr>
              <w:t>Dif</w:t>
            </w:r>
            <w:proofErr w:type="spellEnd"/>
            <w:r w:rsidRPr="0014344A">
              <w:rPr>
                <w:rFonts w:ascii="Times New Roman" w:hAnsi="Times New Roman" w:cs="Times New Roman"/>
                <w:b/>
                <w:bCs/>
                <w:color w:val="000000"/>
                <w:sz w:val="16"/>
                <w:szCs w:val="16"/>
                <w:lang w:eastAsia="es-CO"/>
              </w:rPr>
              <w:t>.</w:t>
            </w:r>
          </w:p>
        </w:tc>
      </w:tr>
      <w:tr w:rsidR="009B18D0" w:rsidRPr="00226598" w14:paraId="2D1C4DE7" w14:textId="77777777" w:rsidTr="0014344A">
        <w:trPr>
          <w:trHeight w:val="23"/>
        </w:trPr>
        <w:tc>
          <w:tcPr>
            <w:tcW w:w="0" w:type="auto"/>
            <w:shd w:val="clear" w:color="auto" w:fill="auto"/>
            <w:noWrap/>
            <w:vAlign w:val="bottom"/>
            <w:hideMark/>
          </w:tcPr>
          <w:p w14:paraId="1C8F4682"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Margen Bruto</w:t>
            </w:r>
          </w:p>
        </w:tc>
        <w:tc>
          <w:tcPr>
            <w:tcW w:w="0" w:type="auto"/>
            <w:shd w:val="clear" w:color="auto" w:fill="auto"/>
            <w:noWrap/>
            <w:vAlign w:val="bottom"/>
            <w:hideMark/>
          </w:tcPr>
          <w:p w14:paraId="3F90AD90"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25,34%</w:t>
            </w:r>
          </w:p>
        </w:tc>
        <w:tc>
          <w:tcPr>
            <w:tcW w:w="0" w:type="auto"/>
            <w:shd w:val="clear" w:color="auto" w:fill="auto"/>
            <w:noWrap/>
            <w:vAlign w:val="bottom"/>
            <w:hideMark/>
          </w:tcPr>
          <w:p w14:paraId="2C5F39F7"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26,24%</w:t>
            </w:r>
          </w:p>
        </w:tc>
        <w:tc>
          <w:tcPr>
            <w:tcW w:w="0" w:type="auto"/>
            <w:shd w:val="clear" w:color="auto" w:fill="auto"/>
            <w:noWrap/>
            <w:vAlign w:val="bottom"/>
            <w:hideMark/>
          </w:tcPr>
          <w:p w14:paraId="5C3F8B9A"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24,24%</w:t>
            </w:r>
          </w:p>
        </w:tc>
        <w:tc>
          <w:tcPr>
            <w:tcW w:w="0" w:type="auto"/>
            <w:shd w:val="clear" w:color="auto" w:fill="auto"/>
            <w:noWrap/>
            <w:vAlign w:val="bottom"/>
            <w:hideMark/>
          </w:tcPr>
          <w:p w14:paraId="0CDB68BE"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20,77%</w:t>
            </w:r>
          </w:p>
        </w:tc>
        <w:tc>
          <w:tcPr>
            <w:tcW w:w="0" w:type="auto"/>
            <w:shd w:val="clear" w:color="auto" w:fill="auto"/>
            <w:noWrap/>
            <w:vAlign w:val="bottom"/>
            <w:hideMark/>
          </w:tcPr>
          <w:p w14:paraId="584DF3AC"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21,73%</w:t>
            </w:r>
          </w:p>
        </w:tc>
        <w:tc>
          <w:tcPr>
            <w:tcW w:w="0" w:type="auto"/>
            <w:shd w:val="clear" w:color="auto" w:fill="auto"/>
            <w:noWrap/>
            <w:vAlign w:val="bottom"/>
            <w:hideMark/>
          </w:tcPr>
          <w:p w14:paraId="418A0598"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21,34%</w:t>
            </w:r>
          </w:p>
        </w:tc>
        <w:tc>
          <w:tcPr>
            <w:tcW w:w="0" w:type="auto"/>
            <w:shd w:val="clear" w:color="auto" w:fill="auto"/>
            <w:noWrap/>
            <w:vAlign w:val="bottom"/>
            <w:hideMark/>
          </w:tcPr>
          <w:p w14:paraId="67057893"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19,09%</w:t>
            </w:r>
          </w:p>
        </w:tc>
        <w:tc>
          <w:tcPr>
            <w:tcW w:w="0" w:type="auto"/>
            <w:shd w:val="clear" w:color="auto" w:fill="auto"/>
            <w:noWrap/>
            <w:vAlign w:val="bottom"/>
            <w:hideMark/>
          </w:tcPr>
          <w:p w14:paraId="57EF8FDE"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19,09%</w:t>
            </w:r>
          </w:p>
        </w:tc>
        <w:tc>
          <w:tcPr>
            <w:tcW w:w="0" w:type="auto"/>
            <w:shd w:val="clear" w:color="auto" w:fill="auto"/>
            <w:noWrap/>
            <w:vAlign w:val="bottom"/>
            <w:hideMark/>
          </w:tcPr>
          <w:p w14:paraId="1C6F2A24"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26,24%</w:t>
            </w:r>
          </w:p>
        </w:tc>
        <w:tc>
          <w:tcPr>
            <w:tcW w:w="0" w:type="auto"/>
            <w:shd w:val="clear" w:color="auto" w:fill="auto"/>
            <w:noWrap/>
            <w:vAlign w:val="bottom"/>
            <w:hideMark/>
          </w:tcPr>
          <w:p w14:paraId="6FB06F88"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22,68%</w:t>
            </w:r>
          </w:p>
        </w:tc>
        <w:tc>
          <w:tcPr>
            <w:tcW w:w="0" w:type="auto"/>
            <w:shd w:val="clear" w:color="auto" w:fill="auto"/>
            <w:noWrap/>
            <w:vAlign w:val="bottom"/>
            <w:hideMark/>
          </w:tcPr>
          <w:p w14:paraId="5EB3A70C"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-6,25%</w:t>
            </w:r>
          </w:p>
        </w:tc>
      </w:tr>
      <w:tr w:rsidR="009B18D0" w:rsidRPr="00226598" w14:paraId="66F088BE" w14:textId="77777777" w:rsidTr="0014344A">
        <w:trPr>
          <w:trHeight w:val="23"/>
        </w:trPr>
        <w:tc>
          <w:tcPr>
            <w:tcW w:w="0" w:type="auto"/>
            <w:shd w:val="clear" w:color="auto" w:fill="auto"/>
            <w:noWrap/>
            <w:vAlign w:val="bottom"/>
            <w:hideMark/>
          </w:tcPr>
          <w:p w14:paraId="31E568E4"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Margen Operativo</w:t>
            </w:r>
          </w:p>
        </w:tc>
        <w:tc>
          <w:tcPr>
            <w:tcW w:w="0" w:type="auto"/>
            <w:shd w:val="clear" w:color="auto" w:fill="auto"/>
            <w:noWrap/>
            <w:vAlign w:val="bottom"/>
            <w:hideMark/>
          </w:tcPr>
          <w:p w14:paraId="48F5C1BA"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3,36%</w:t>
            </w:r>
          </w:p>
        </w:tc>
        <w:tc>
          <w:tcPr>
            <w:tcW w:w="0" w:type="auto"/>
            <w:shd w:val="clear" w:color="auto" w:fill="auto"/>
            <w:noWrap/>
            <w:vAlign w:val="bottom"/>
            <w:hideMark/>
          </w:tcPr>
          <w:p w14:paraId="1715E0AD"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3,68%</w:t>
            </w:r>
          </w:p>
        </w:tc>
        <w:tc>
          <w:tcPr>
            <w:tcW w:w="0" w:type="auto"/>
            <w:shd w:val="clear" w:color="auto" w:fill="auto"/>
            <w:noWrap/>
            <w:vAlign w:val="bottom"/>
            <w:hideMark/>
          </w:tcPr>
          <w:p w14:paraId="3D591A19"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3,78%</w:t>
            </w:r>
          </w:p>
        </w:tc>
        <w:tc>
          <w:tcPr>
            <w:tcW w:w="0" w:type="auto"/>
            <w:shd w:val="clear" w:color="auto" w:fill="auto"/>
            <w:noWrap/>
            <w:vAlign w:val="bottom"/>
            <w:hideMark/>
          </w:tcPr>
          <w:p w14:paraId="1E4B1557"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2,73%</w:t>
            </w:r>
          </w:p>
        </w:tc>
        <w:tc>
          <w:tcPr>
            <w:tcW w:w="0" w:type="auto"/>
            <w:shd w:val="clear" w:color="auto" w:fill="auto"/>
            <w:noWrap/>
            <w:vAlign w:val="bottom"/>
            <w:hideMark/>
          </w:tcPr>
          <w:p w14:paraId="417E5F6E"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3,71%</w:t>
            </w:r>
          </w:p>
        </w:tc>
        <w:tc>
          <w:tcPr>
            <w:tcW w:w="0" w:type="auto"/>
            <w:shd w:val="clear" w:color="auto" w:fill="auto"/>
            <w:noWrap/>
            <w:vAlign w:val="bottom"/>
            <w:hideMark/>
          </w:tcPr>
          <w:p w14:paraId="281FDAFA"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5,59%</w:t>
            </w:r>
          </w:p>
        </w:tc>
        <w:tc>
          <w:tcPr>
            <w:tcW w:w="0" w:type="auto"/>
            <w:shd w:val="clear" w:color="auto" w:fill="auto"/>
            <w:noWrap/>
            <w:vAlign w:val="bottom"/>
            <w:hideMark/>
          </w:tcPr>
          <w:p w14:paraId="69205E64"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5,04%</w:t>
            </w:r>
          </w:p>
        </w:tc>
        <w:tc>
          <w:tcPr>
            <w:tcW w:w="0" w:type="auto"/>
            <w:shd w:val="clear" w:color="auto" w:fill="auto"/>
            <w:noWrap/>
            <w:vAlign w:val="bottom"/>
            <w:hideMark/>
          </w:tcPr>
          <w:p w14:paraId="19D21DAA"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2,73%</w:t>
            </w:r>
          </w:p>
        </w:tc>
        <w:tc>
          <w:tcPr>
            <w:tcW w:w="0" w:type="auto"/>
            <w:shd w:val="clear" w:color="auto" w:fill="auto"/>
            <w:noWrap/>
            <w:vAlign w:val="bottom"/>
            <w:hideMark/>
          </w:tcPr>
          <w:p w14:paraId="2CC8B57C"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5,59%</w:t>
            </w:r>
          </w:p>
        </w:tc>
        <w:tc>
          <w:tcPr>
            <w:tcW w:w="0" w:type="auto"/>
            <w:shd w:val="clear" w:color="auto" w:fill="auto"/>
            <w:noWrap/>
            <w:vAlign w:val="bottom"/>
            <w:hideMark/>
          </w:tcPr>
          <w:p w14:paraId="2AE72EC3"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3,99%</w:t>
            </w:r>
          </w:p>
        </w:tc>
        <w:tc>
          <w:tcPr>
            <w:tcW w:w="0" w:type="auto"/>
            <w:shd w:val="clear" w:color="auto" w:fill="auto"/>
            <w:noWrap/>
            <w:vAlign w:val="bottom"/>
            <w:hideMark/>
          </w:tcPr>
          <w:p w14:paraId="01F9CB15"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1,68%</w:t>
            </w:r>
          </w:p>
        </w:tc>
      </w:tr>
      <w:tr w:rsidR="009B18D0" w:rsidRPr="00226598" w14:paraId="45B00D0C" w14:textId="77777777" w:rsidTr="0014344A">
        <w:trPr>
          <w:trHeight w:val="23"/>
        </w:trPr>
        <w:tc>
          <w:tcPr>
            <w:tcW w:w="0" w:type="auto"/>
            <w:shd w:val="clear" w:color="auto" w:fill="auto"/>
            <w:noWrap/>
            <w:vAlign w:val="bottom"/>
            <w:hideMark/>
          </w:tcPr>
          <w:p w14:paraId="34BACFFF"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ROA</w:t>
            </w:r>
          </w:p>
        </w:tc>
        <w:tc>
          <w:tcPr>
            <w:tcW w:w="0" w:type="auto"/>
            <w:shd w:val="clear" w:color="auto" w:fill="auto"/>
            <w:noWrap/>
            <w:vAlign w:val="bottom"/>
            <w:hideMark/>
          </w:tcPr>
          <w:p w14:paraId="7DCA347D"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0,97%</w:t>
            </w:r>
          </w:p>
        </w:tc>
        <w:tc>
          <w:tcPr>
            <w:tcW w:w="0" w:type="auto"/>
            <w:shd w:val="clear" w:color="auto" w:fill="auto"/>
            <w:noWrap/>
            <w:vAlign w:val="bottom"/>
            <w:hideMark/>
          </w:tcPr>
          <w:p w14:paraId="514C8ADB"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0,12%</w:t>
            </w:r>
          </w:p>
        </w:tc>
        <w:tc>
          <w:tcPr>
            <w:tcW w:w="0" w:type="auto"/>
            <w:shd w:val="clear" w:color="auto" w:fill="auto"/>
            <w:noWrap/>
            <w:vAlign w:val="bottom"/>
            <w:hideMark/>
          </w:tcPr>
          <w:p w14:paraId="0077DFAF"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1,27%</w:t>
            </w:r>
          </w:p>
        </w:tc>
        <w:tc>
          <w:tcPr>
            <w:tcW w:w="0" w:type="auto"/>
            <w:shd w:val="clear" w:color="auto" w:fill="auto"/>
            <w:noWrap/>
            <w:vAlign w:val="bottom"/>
            <w:hideMark/>
          </w:tcPr>
          <w:p w14:paraId="11CCF42D"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0,34%</w:t>
            </w:r>
          </w:p>
        </w:tc>
        <w:tc>
          <w:tcPr>
            <w:tcW w:w="0" w:type="auto"/>
            <w:shd w:val="clear" w:color="auto" w:fill="auto"/>
            <w:noWrap/>
            <w:vAlign w:val="bottom"/>
            <w:hideMark/>
          </w:tcPr>
          <w:p w14:paraId="7EC00D47"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1,25%</w:t>
            </w:r>
          </w:p>
        </w:tc>
        <w:tc>
          <w:tcPr>
            <w:tcW w:w="0" w:type="auto"/>
            <w:shd w:val="clear" w:color="auto" w:fill="auto"/>
            <w:noWrap/>
            <w:vAlign w:val="bottom"/>
            <w:hideMark/>
          </w:tcPr>
          <w:p w14:paraId="28CA6B92"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4,19%</w:t>
            </w:r>
          </w:p>
        </w:tc>
        <w:tc>
          <w:tcPr>
            <w:tcW w:w="0" w:type="auto"/>
            <w:shd w:val="clear" w:color="auto" w:fill="auto"/>
            <w:noWrap/>
            <w:vAlign w:val="bottom"/>
            <w:hideMark/>
          </w:tcPr>
          <w:p w14:paraId="788D8B30"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3,58%</w:t>
            </w:r>
          </w:p>
        </w:tc>
        <w:tc>
          <w:tcPr>
            <w:tcW w:w="0" w:type="auto"/>
            <w:shd w:val="clear" w:color="auto" w:fill="auto"/>
            <w:noWrap/>
            <w:vAlign w:val="bottom"/>
            <w:hideMark/>
          </w:tcPr>
          <w:p w14:paraId="6921B7C1"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0,12%</w:t>
            </w:r>
          </w:p>
        </w:tc>
        <w:tc>
          <w:tcPr>
            <w:tcW w:w="0" w:type="auto"/>
            <w:shd w:val="clear" w:color="auto" w:fill="auto"/>
            <w:noWrap/>
            <w:vAlign w:val="bottom"/>
            <w:hideMark/>
          </w:tcPr>
          <w:p w14:paraId="4D93691D"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4,19%</w:t>
            </w:r>
          </w:p>
        </w:tc>
        <w:tc>
          <w:tcPr>
            <w:tcW w:w="0" w:type="auto"/>
            <w:shd w:val="clear" w:color="auto" w:fill="auto"/>
            <w:noWrap/>
            <w:vAlign w:val="bottom"/>
            <w:hideMark/>
          </w:tcPr>
          <w:p w14:paraId="2B345CFF"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1,67%</w:t>
            </w:r>
          </w:p>
        </w:tc>
        <w:tc>
          <w:tcPr>
            <w:tcW w:w="0" w:type="auto"/>
            <w:shd w:val="clear" w:color="auto" w:fill="auto"/>
            <w:noWrap/>
            <w:vAlign w:val="bottom"/>
            <w:hideMark/>
          </w:tcPr>
          <w:p w14:paraId="12E065DA"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2,61%</w:t>
            </w:r>
          </w:p>
        </w:tc>
      </w:tr>
      <w:tr w:rsidR="009B18D0" w:rsidRPr="00226598" w14:paraId="36A038C1" w14:textId="77777777" w:rsidTr="0014344A">
        <w:trPr>
          <w:trHeight w:val="23"/>
        </w:trPr>
        <w:tc>
          <w:tcPr>
            <w:tcW w:w="0" w:type="auto"/>
            <w:shd w:val="clear" w:color="auto" w:fill="auto"/>
            <w:noWrap/>
            <w:vAlign w:val="bottom"/>
            <w:hideMark/>
          </w:tcPr>
          <w:p w14:paraId="0DF16FB0"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ROE</w:t>
            </w:r>
          </w:p>
        </w:tc>
        <w:tc>
          <w:tcPr>
            <w:tcW w:w="0" w:type="auto"/>
            <w:shd w:val="clear" w:color="auto" w:fill="auto"/>
            <w:noWrap/>
            <w:vAlign w:val="bottom"/>
            <w:hideMark/>
          </w:tcPr>
          <w:p w14:paraId="02565CC0"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2,44%</w:t>
            </w:r>
          </w:p>
        </w:tc>
        <w:tc>
          <w:tcPr>
            <w:tcW w:w="0" w:type="auto"/>
            <w:shd w:val="clear" w:color="auto" w:fill="auto"/>
            <w:noWrap/>
            <w:vAlign w:val="bottom"/>
            <w:hideMark/>
          </w:tcPr>
          <w:p w14:paraId="4630F2DD"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0,30%</w:t>
            </w:r>
          </w:p>
        </w:tc>
        <w:tc>
          <w:tcPr>
            <w:tcW w:w="0" w:type="auto"/>
            <w:shd w:val="clear" w:color="auto" w:fill="auto"/>
            <w:noWrap/>
            <w:vAlign w:val="bottom"/>
            <w:hideMark/>
          </w:tcPr>
          <w:p w14:paraId="5EE1DC35"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3,16%</w:t>
            </w:r>
          </w:p>
        </w:tc>
        <w:tc>
          <w:tcPr>
            <w:tcW w:w="0" w:type="auto"/>
            <w:shd w:val="clear" w:color="auto" w:fill="auto"/>
            <w:noWrap/>
            <w:vAlign w:val="bottom"/>
            <w:hideMark/>
          </w:tcPr>
          <w:p w14:paraId="19C9B885"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1,08%</w:t>
            </w:r>
          </w:p>
        </w:tc>
        <w:tc>
          <w:tcPr>
            <w:tcW w:w="0" w:type="auto"/>
            <w:shd w:val="clear" w:color="auto" w:fill="auto"/>
            <w:noWrap/>
            <w:vAlign w:val="bottom"/>
            <w:hideMark/>
          </w:tcPr>
          <w:p w14:paraId="6AB882EE"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3,73%</w:t>
            </w:r>
          </w:p>
        </w:tc>
        <w:tc>
          <w:tcPr>
            <w:tcW w:w="0" w:type="auto"/>
            <w:shd w:val="clear" w:color="auto" w:fill="auto"/>
            <w:noWrap/>
            <w:vAlign w:val="bottom"/>
            <w:hideMark/>
          </w:tcPr>
          <w:p w14:paraId="4383E2A4"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13,06%</w:t>
            </w:r>
          </w:p>
        </w:tc>
        <w:tc>
          <w:tcPr>
            <w:tcW w:w="0" w:type="auto"/>
            <w:shd w:val="clear" w:color="auto" w:fill="auto"/>
            <w:noWrap/>
            <w:vAlign w:val="bottom"/>
            <w:hideMark/>
          </w:tcPr>
          <w:p w14:paraId="359A82EC"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11,74%</w:t>
            </w:r>
          </w:p>
        </w:tc>
        <w:tc>
          <w:tcPr>
            <w:tcW w:w="0" w:type="auto"/>
            <w:shd w:val="clear" w:color="auto" w:fill="auto"/>
            <w:noWrap/>
            <w:vAlign w:val="bottom"/>
            <w:hideMark/>
          </w:tcPr>
          <w:p w14:paraId="039D6D4E"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0,30%</w:t>
            </w:r>
          </w:p>
        </w:tc>
        <w:tc>
          <w:tcPr>
            <w:tcW w:w="0" w:type="auto"/>
            <w:shd w:val="clear" w:color="auto" w:fill="auto"/>
            <w:noWrap/>
            <w:vAlign w:val="bottom"/>
            <w:hideMark/>
          </w:tcPr>
          <w:p w14:paraId="49770D72"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13,06%</w:t>
            </w:r>
          </w:p>
        </w:tc>
        <w:tc>
          <w:tcPr>
            <w:tcW w:w="0" w:type="auto"/>
            <w:shd w:val="clear" w:color="auto" w:fill="auto"/>
            <w:noWrap/>
            <w:vAlign w:val="bottom"/>
            <w:hideMark/>
          </w:tcPr>
          <w:p w14:paraId="774BAC85"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5,07%</w:t>
            </w:r>
          </w:p>
        </w:tc>
        <w:tc>
          <w:tcPr>
            <w:tcW w:w="0" w:type="auto"/>
            <w:shd w:val="clear" w:color="auto" w:fill="auto"/>
            <w:noWrap/>
            <w:vAlign w:val="bottom"/>
            <w:hideMark/>
          </w:tcPr>
          <w:p w14:paraId="2D266FEA" w14:textId="77777777" w:rsidR="009B18D0" w:rsidRPr="0014344A" w:rsidRDefault="009B18D0" w:rsidP="00A630DC">
            <w:pPr>
              <w:spacing w:after="0"/>
              <w:jc w:val="center"/>
              <w:rPr>
                <w:rFonts w:ascii="Times New Roman" w:hAnsi="Times New Roman" w:cs="Times New Roman"/>
                <w:bCs/>
                <w:color w:val="000000"/>
                <w:sz w:val="16"/>
                <w:szCs w:val="16"/>
                <w:lang w:eastAsia="es-CO"/>
              </w:rPr>
            </w:pPr>
            <w:r w:rsidRPr="0014344A">
              <w:rPr>
                <w:rFonts w:ascii="Times New Roman" w:hAnsi="Times New Roman" w:cs="Times New Roman"/>
                <w:bCs/>
                <w:color w:val="000000"/>
                <w:sz w:val="16"/>
                <w:szCs w:val="16"/>
                <w:lang w:eastAsia="es-CO"/>
              </w:rPr>
              <w:t>9,30%</w:t>
            </w:r>
          </w:p>
        </w:tc>
      </w:tr>
    </w:tbl>
    <w:p w14:paraId="2C9E76FC" w14:textId="1029B2F9" w:rsidR="004903C9" w:rsidRDefault="009B18D0" w:rsidP="00A630DC">
      <w:pPr>
        <w:spacing w:after="0"/>
        <w:rPr>
          <w:rFonts w:eastAsia="Arial"/>
          <w:b/>
          <w:bCs/>
          <w:sz w:val="20"/>
          <w:szCs w:val="20"/>
          <w:lang w:eastAsia="es-CO"/>
        </w:rPr>
      </w:pPr>
      <w:r w:rsidRPr="009B18D0">
        <w:rPr>
          <w:rFonts w:ascii="Times New Roman" w:hAnsi="Times New Roman" w:cs="Times New Roman"/>
          <w:b/>
          <w:bCs/>
          <w:sz w:val="20"/>
          <w:szCs w:val="20"/>
          <w:lang w:val="es-ES"/>
        </w:rPr>
        <w:t xml:space="preserve">Tabla </w:t>
      </w:r>
      <w:r w:rsidRPr="009B18D0">
        <w:rPr>
          <w:rFonts w:ascii="Times New Roman" w:hAnsi="Times New Roman" w:cs="Times New Roman"/>
          <w:b/>
          <w:bCs/>
          <w:sz w:val="20"/>
          <w:szCs w:val="20"/>
          <w:lang w:val="es-ES"/>
        </w:rPr>
        <w:fldChar w:fldCharType="begin"/>
      </w:r>
      <w:r w:rsidRPr="009B18D0">
        <w:rPr>
          <w:rFonts w:ascii="Times New Roman" w:hAnsi="Times New Roman" w:cs="Times New Roman"/>
          <w:b/>
          <w:bCs/>
          <w:sz w:val="20"/>
          <w:szCs w:val="20"/>
          <w:lang w:val="es-ES"/>
        </w:rPr>
        <w:instrText xml:space="preserve"> SEQ Tabla \* ARABIC </w:instrText>
      </w:r>
      <w:r w:rsidRPr="009B18D0">
        <w:rPr>
          <w:rFonts w:ascii="Times New Roman" w:hAnsi="Times New Roman" w:cs="Times New Roman"/>
          <w:b/>
          <w:bCs/>
          <w:sz w:val="20"/>
          <w:szCs w:val="20"/>
          <w:lang w:val="es-ES"/>
        </w:rPr>
        <w:fldChar w:fldCharType="separate"/>
      </w:r>
      <w:r w:rsidR="005A3813">
        <w:rPr>
          <w:rFonts w:ascii="Times New Roman" w:hAnsi="Times New Roman" w:cs="Times New Roman"/>
          <w:b/>
          <w:bCs/>
          <w:noProof/>
          <w:sz w:val="20"/>
          <w:szCs w:val="20"/>
          <w:lang w:val="es-ES"/>
        </w:rPr>
        <w:t>3</w:t>
      </w:r>
      <w:r w:rsidRPr="009B18D0">
        <w:rPr>
          <w:rFonts w:ascii="Times New Roman" w:hAnsi="Times New Roman" w:cs="Times New Roman"/>
          <w:b/>
          <w:bCs/>
          <w:sz w:val="20"/>
          <w:szCs w:val="20"/>
          <w:lang w:val="es-ES"/>
        </w:rPr>
        <w:fldChar w:fldCharType="end"/>
      </w:r>
      <w:r w:rsidRPr="009B18D0">
        <w:rPr>
          <w:rFonts w:ascii="Times New Roman" w:hAnsi="Times New Roman" w:cs="Times New Roman"/>
          <w:b/>
          <w:bCs/>
          <w:sz w:val="20"/>
          <w:szCs w:val="20"/>
          <w:lang w:val="es-ES"/>
        </w:rPr>
        <w:t xml:space="preserve">. </w:t>
      </w:r>
      <w:r w:rsidRPr="009B18D0">
        <w:rPr>
          <w:rFonts w:ascii="Times New Roman" w:hAnsi="Times New Roman" w:cs="Times New Roman"/>
          <w:b/>
          <w:bCs/>
          <w:i/>
          <w:iCs/>
          <w:sz w:val="20"/>
          <w:szCs w:val="20"/>
          <w:lang w:val="es-ES"/>
        </w:rPr>
        <w:t>Indicadores de margen y rentabilidad de las grandes empresas del sector comercio en Colombia</w:t>
      </w:r>
    </w:p>
    <w:p w14:paraId="0DF3B96B" w14:textId="2AC3A3BF" w:rsidR="009B18D0" w:rsidRDefault="009B18D0" w:rsidP="00A630DC">
      <w:pPr>
        <w:tabs>
          <w:tab w:val="left" w:pos="284"/>
          <w:tab w:val="left" w:pos="426"/>
        </w:tabs>
        <w:spacing w:after="0"/>
        <w:rPr>
          <w:rFonts w:ascii="Times New Roman" w:hAnsi="Times New Roman" w:cs="Times New Roman"/>
          <w:bCs/>
          <w:sz w:val="20"/>
          <w:szCs w:val="20"/>
          <w:lang w:val="es-ES"/>
        </w:rPr>
      </w:pPr>
      <w:r w:rsidRPr="004903C9">
        <w:rPr>
          <w:rFonts w:ascii="Times New Roman" w:hAnsi="Times New Roman" w:cs="Times New Roman"/>
          <w:b/>
          <w:bCs/>
          <w:sz w:val="20"/>
          <w:szCs w:val="20"/>
          <w:lang w:val="es-ES"/>
        </w:rPr>
        <w:t>Fuente:</w:t>
      </w:r>
      <w:r w:rsidRPr="004903C9">
        <w:rPr>
          <w:rFonts w:ascii="Times New Roman" w:hAnsi="Times New Roman" w:cs="Times New Roman"/>
          <w:bCs/>
          <w:sz w:val="20"/>
          <w:szCs w:val="20"/>
          <w:lang w:val="es-ES"/>
        </w:rPr>
        <w:t xml:space="preserve"> </w:t>
      </w:r>
      <w:r w:rsidR="004903C9" w:rsidRPr="004903C9">
        <w:rPr>
          <w:rFonts w:ascii="Times New Roman" w:hAnsi="Times New Roman" w:cs="Times New Roman"/>
          <w:bCs/>
          <w:sz w:val="20"/>
          <w:szCs w:val="20"/>
          <w:lang w:val="es-ES"/>
        </w:rPr>
        <w:t>e</w:t>
      </w:r>
      <w:r w:rsidRPr="004903C9">
        <w:rPr>
          <w:rFonts w:ascii="Times New Roman" w:hAnsi="Times New Roman" w:cs="Times New Roman"/>
          <w:bCs/>
          <w:sz w:val="20"/>
          <w:szCs w:val="20"/>
          <w:lang w:val="es-ES"/>
        </w:rPr>
        <w:t>laboración propia a partir de la base de datos de la Superintendencia de Sociedades SIIS</w:t>
      </w:r>
      <w:r w:rsidR="00226598">
        <w:rPr>
          <w:rFonts w:ascii="Times New Roman" w:hAnsi="Times New Roman" w:cs="Times New Roman"/>
          <w:bCs/>
          <w:sz w:val="20"/>
          <w:szCs w:val="20"/>
          <w:lang w:val="es-ES"/>
        </w:rPr>
        <w:t>.</w:t>
      </w:r>
    </w:p>
    <w:p w14:paraId="262F7761" w14:textId="77777777" w:rsidR="00FA3EB0" w:rsidRDefault="00FA3EB0" w:rsidP="00A630DC">
      <w:pPr>
        <w:spacing w:after="0"/>
        <w:ind w:firstLine="284"/>
        <w:rPr>
          <w:rFonts w:ascii="Times New Roman" w:eastAsia="Arial" w:hAnsi="Times New Roman" w:cs="Times New Roman"/>
          <w:szCs w:val="24"/>
          <w:lang w:val="es-ES" w:eastAsia="es-CO"/>
        </w:rPr>
      </w:pPr>
    </w:p>
    <w:p w14:paraId="5B761B84" w14:textId="1E9C45C2" w:rsidR="00D55F2B" w:rsidRPr="00FC35E5" w:rsidRDefault="00D55F2B" w:rsidP="00A630DC">
      <w:pPr>
        <w:spacing w:after="0"/>
        <w:ind w:firstLine="284"/>
        <w:rPr>
          <w:rFonts w:ascii="Times New Roman" w:eastAsia="Arial" w:hAnsi="Times New Roman" w:cs="Times New Roman"/>
          <w:szCs w:val="24"/>
          <w:lang w:val="es-ES" w:eastAsia="es-CO"/>
        </w:rPr>
      </w:pPr>
      <w:r w:rsidRPr="00FC35E5">
        <w:rPr>
          <w:rFonts w:ascii="Times New Roman" w:eastAsia="Arial" w:hAnsi="Times New Roman" w:cs="Times New Roman"/>
          <w:szCs w:val="24"/>
          <w:lang w:val="es-ES" w:eastAsia="es-CO"/>
        </w:rPr>
        <w:t>En la tabla 4 se observa la correlación entre el ciclo de caja de efectivo y los indicadores de rentabilidad. Para ello, se resalta de color verde la correlación positiva significativa y de color rojo, la relación negativa significativa. De acuerdo a lo anterior, se determina una correlación positiva significativa de 0</w:t>
      </w:r>
      <w:r w:rsidR="00DB54C2">
        <w:rPr>
          <w:rFonts w:ascii="Times New Roman" w:eastAsia="Arial" w:hAnsi="Times New Roman" w:cs="Times New Roman"/>
          <w:szCs w:val="24"/>
          <w:lang w:val="es-ES" w:eastAsia="es-CO"/>
        </w:rPr>
        <w:t>,</w:t>
      </w:r>
      <w:r w:rsidRPr="00FC35E5">
        <w:rPr>
          <w:rFonts w:ascii="Times New Roman" w:eastAsia="Arial" w:hAnsi="Times New Roman" w:cs="Times New Roman"/>
          <w:szCs w:val="24"/>
          <w:lang w:val="es-ES" w:eastAsia="es-CO"/>
        </w:rPr>
        <w:t>8</w:t>
      </w:r>
      <w:r w:rsidR="00DB54C2">
        <w:rPr>
          <w:rFonts w:ascii="Times New Roman" w:eastAsia="Arial" w:hAnsi="Times New Roman" w:cs="Times New Roman"/>
          <w:szCs w:val="24"/>
          <w:lang w:val="es-ES" w:eastAsia="es-CO"/>
        </w:rPr>
        <w:t>0</w:t>
      </w:r>
      <w:r w:rsidRPr="00FC35E5">
        <w:rPr>
          <w:rFonts w:ascii="Times New Roman" w:eastAsia="Arial" w:hAnsi="Times New Roman" w:cs="Times New Roman"/>
          <w:szCs w:val="24"/>
          <w:lang w:val="es-ES" w:eastAsia="es-CO"/>
        </w:rPr>
        <w:t xml:space="preserve"> entre la rotación de cartera (días) y el margen bruto. Por el contrario, se encuentra una correlación negativa significativa con las siguientes variables: -0</w:t>
      </w:r>
      <w:r w:rsidR="00DB54C2">
        <w:rPr>
          <w:rFonts w:ascii="Times New Roman" w:eastAsia="Arial" w:hAnsi="Times New Roman" w:cs="Times New Roman"/>
          <w:szCs w:val="24"/>
          <w:lang w:val="es-ES" w:eastAsia="es-CO"/>
        </w:rPr>
        <w:t>,</w:t>
      </w:r>
      <w:r w:rsidRPr="00FC35E5">
        <w:rPr>
          <w:rFonts w:ascii="Times New Roman" w:eastAsia="Arial" w:hAnsi="Times New Roman" w:cs="Times New Roman"/>
          <w:szCs w:val="24"/>
          <w:lang w:val="es-ES" w:eastAsia="es-CO"/>
        </w:rPr>
        <w:t>7</w:t>
      </w:r>
      <w:r w:rsidR="00DB54C2">
        <w:rPr>
          <w:rFonts w:ascii="Times New Roman" w:eastAsia="Arial" w:hAnsi="Times New Roman" w:cs="Times New Roman"/>
          <w:szCs w:val="24"/>
          <w:lang w:val="es-ES" w:eastAsia="es-CO"/>
        </w:rPr>
        <w:t>0</w:t>
      </w:r>
      <w:r w:rsidRPr="00FC35E5">
        <w:rPr>
          <w:rFonts w:ascii="Times New Roman" w:eastAsia="Arial" w:hAnsi="Times New Roman" w:cs="Times New Roman"/>
          <w:szCs w:val="24"/>
          <w:lang w:val="es-ES" w:eastAsia="es-CO"/>
        </w:rPr>
        <w:t xml:space="preserve"> con el margen operativo, -0</w:t>
      </w:r>
      <w:r w:rsidR="00DB54C2">
        <w:rPr>
          <w:rFonts w:ascii="Times New Roman" w:eastAsia="Arial" w:hAnsi="Times New Roman" w:cs="Times New Roman"/>
          <w:szCs w:val="24"/>
          <w:lang w:val="es-ES" w:eastAsia="es-CO"/>
        </w:rPr>
        <w:t>,</w:t>
      </w:r>
      <w:r w:rsidRPr="00FC35E5">
        <w:rPr>
          <w:rFonts w:ascii="Times New Roman" w:eastAsia="Arial" w:hAnsi="Times New Roman" w:cs="Times New Roman"/>
          <w:szCs w:val="24"/>
          <w:lang w:val="es-ES" w:eastAsia="es-CO"/>
        </w:rPr>
        <w:t>9</w:t>
      </w:r>
      <w:r w:rsidR="00DB54C2">
        <w:rPr>
          <w:rFonts w:ascii="Times New Roman" w:eastAsia="Arial" w:hAnsi="Times New Roman" w:cs="Times New Roman"/>
          <w:szCs w:val="24"/>
          <w:lang w:val="es-ES" w:eastAsia="es-CO"/>
        </w:rPr>
        <w:t>0</w:t>
      </w:r>
      <w:r w:rsidRPr="00FC35E5">
        <w:rPr>
          <w:rFonts w:ascii="Times New Roman" w:eastAsia="Arial" w:hAnsi="Times New Roman" w:cs="Times New Roman"/>
          <w:szCs w:val="24"/>
          <w:lang w:val="es-ES" w:eastAsia="es-CO"/>
        </w:rPr>
        <w:t xml:space="preserve"> con ROA y -0</w:t>
      </w:r>
      <w:r w:rsidR="00DB54C2">
        <w:rPr>
          <w:rFonts w:ascii="Times New Roman" w:eastAsia="Arial" w:hAnsi="Times New Roman" w:cs="Times New Roman"/>
          <w:szCs w:val="24"/>
          <w:lang w:val="es-ES" w:eastAsia="es-CO"/>
        </w:rPr>
        <w:t>,</w:t>
      </w:r>
      <w:r w:rsidRPr="00FC35E5">
        <w:rPr>
          <w:rFonts w:ascii="Times New Roman" w:eastAsia="Arial" w:hAnsi="Times New Roman" w:cs="Times New Roman"/>
          <w:szCs w:val="24"/>
          <w:lang w:val="es-ES" w:eastAsia="es-CO"/>
        </w:rPr>
        <w:t>9</w:t>
      </w:r>
      <w:r w:rsidR="00DB54C2">
        <w:rPr>
          <w:rFonts w:ascii="Times New Roman" w:eastAsia="Arial" w:hAnsi="Times New Roman" w:cs="Times New Roman"/>
          <w:szCs w:val="24"/>
          <w:lang w:val="es-ES" w:eastAsia="es-CO"/>
        </w:rPr>
        <w:t>0</w:t>
      </w:r>
      <w:r w:rsidRPr="00FC35E5">
        <w:rPr>
          <w:rFonts w:ascii="Times New Roman" w:eastAsia="Arial" w:hAnsi="Times New Roman" w:cs="Times New Roman"/>
          <w:szCs w:val="24"/>
          <w:lang w:val="es-ES" w:eastAsia="es-CO"/>
        </w:rPr>
        <w:t xml:space="preserve"> con ROE. Lo último</w:t>
      </w:r>
      <w:r>
        <w:rPr>
          <w:rFonts w:ascii="Times New Roman" w:eastAsia="Arial" w:hAnsi="Times New Roman" w:cs="Times New Roman"/>
          <w:szCs w:val="24"/>
          <w:lang w:val="es-ES" w:eastAsia="es-CO"/>
        </w:rPr>
        <w:t>, indica</w:t>
      </w:r>
      <w:r w:rsidRPr="00FC35E5">
        <w:rPr>
          <w:rFonts w:ascii="Times New Roman" w:eastAsia="Arial" w:hAnsi="Times New Roman" w:cs="Times New Roman"/>
          <w:szCs w:val="24"/>
          <w:lang w:val="es-ES" w:eastAsia="es-CO"/>
        </w:rPr>
        <w:t xml:space="preserve"> que en los periodos analizados el comportamiento de la rotación de cartera (disminución), favorece el crecimiento del margen operativo, ROA y ROE.</w:t>
      </w:r>
    </w:p>
    <w:p w14:paraId="5D0A8206" w14:textId="13C2AC54" w:rsidR="00D55F2B" w:rsidRPr="00FC35E5" w:rsidRDefault="00D55F2B" w:rsidP="00A630DC">
      <w:pPr>
        <w:spacing w:after="0"/>
        <w:ind w:firstLine="284"/>
        <w:rPr>
          <w:rFonts w:ascii="Times New Roman" w:eastAsia="Arial" w:hAnsi="Times New Roman" w:cs="Times New Roman"/>
          <w:szCs w:val="24"/>
          <w:lang w:val="es-ES" w:eastAsia="es-CO"/>
        </w:rPr>
      </w:pPr>
      <w:r w:rsidRPr="00FC35E5">
        <w:rPr>
          <w:rFonts w:ascii="Times New Roman" w:eastAsia="Arial" w:hAnsi="Times New Roman" w:cs="Times New Roman"/>
          <w:szCs w:val="24"/>
          <w:lang w:val="es-ES" w:eastAsia="es-CO"/>
        </w:rPr>
        <w:t>En lo que respecta a la rotación de inventario (días), los datos indican una correlación positiva tanto con el margen bruto como con el margen operativo. Esto sugiere que una empresa con una alta rotación de inventarios tiende a tener márgenes brutos y operativos más altos, lo que refleja una mayor eficiencia en la gestión de inventarios y una mayor rentabilidad. Sin embargo, la correlación entre la rotación de inventarios y ROA y ROE es baja, lo que sugiere que la rotación de inventarios no ejerce una influencia significativa en la rentabilidad de la empresa (</w:t>
      </w:r>
      <w:r w:rsidR="00DB54C2">
        <w:rPr>
          <w:rFonts w:ascii="Times New Roman" w:eastAsia="Arial" w:hAnsi="Times New Roman" w:cs="Times New Roman"/>
          <w:szCs w:val="24"/>
          <w:lang w:val="es-ES" w:eastAsia="es-CO"/>
        </w:rPr>
        <w:t>t</w:t>
      </w:r>
      <w:r w:rsidRPr="00FC35E5">
        <w:rPr>
          <w:rFonts w:ascii="Times New Roman" w:eastAsia="Arial" w:hAnsi="Times New Roman" w:cs="Times New Roman"/>
          <w:szCs w:val="24"/>
          <w:lang w:val="es-ES" w:eastAsia="es-CO"/>
        </w:rPr>
        <w:t>abla 4)</w:t>
      </w:r>
      <w:r w:rsidR="00DB54C2">
        <w:rPr>
          <w:rFonts w:ascii="Times New Roman" w:eastAsia="Arial" w:hAnsi="Times New Roman" w:cs="Times New Roman"/>
          <w:szCs w:val="24"/>
          <w:lang w:val="es-ES" w:eastAsia="es-CO"/>
        </w:rPr>
        <w:t>.</w:t>
      </w:r>
    </w:p>
    <w:p w14:paraId="41611647" w14:textId="2F273549" w:rsidR="00D55F2B" w:rsidRPr="00E24DC6" w:rsidRDefault="00D55F2B" w:rsidP="00A630DC">
      <w:pPr>
        <w:spacing w:after="0"/>
        <w:ind w:firstLine="284"/>
        <w:rPr>
          <w:rFonts w:ascii="Times New Roman" w:eastAsia="Arial" w:hAnsi="Times New Roman" w:cs="Times New Roman"/>
          <w:szCs w:val="24"/>
          <w:lang w:val="es-ES" w:eastAsia="es-CO"/>
        </w:rPr>
      </w:pPr>
      <w:r w:rsidRPr="00FC35E5">
        <w:rPr>
          <w:rFonts w:ascii="Times New Roman" w:eastAsia="Arial" w:hAnsi="Times New Roman" w:cs="Times New Roman"/>
          <w:szCs w:val="24"/>
          <w:lang w:val="es-ES" w:eastAsia="es-CO"/>
        </w:rPr>
        <w:t>Por último, en el caso de la ro</w:t>
      </w:r>
      <w:r>
        <w:rPr>
          <w:rFonts w:ascii="Times New Roman" w:eastAsia="Arial" w:hAnsi="Times New Roman" w:cs="Times New Roman"/>
          <w:szCs w:val="24"/>
          <w:lang w:val="es-ES" w:eastAsia="es-CO"/>
        </w:rPr>
        <w:t xml:space="preserve">tación de proveedores (días), </w:t>
      </w:r>
      <w:r w:rsidRPr="00FC35E5">
        <w:rPr>
          <w:rFonts w:ascii="Times New Roman" w:eastAsia="Arial" w:hAnsi="Times New Roman" w:cs="Times New Roman"/>
          <w:szCs w:val="24"/>
          <w:lang w:val="es-ES" w:eastAsia="es-CO"/>
        </w:rPr>
        <w:t>sugiere que una empresa con una alta rotación de proveedores puede tener un margen bruto más alto, lo que indica una mayor eficiencia en la gestión de cuentas por pagar y una mayor rentabilidad. Entonces, se observa una correlación negativa con el margen operativo, ROA y ROE, de -0,1, -0,4 y -0,4 respectivamente, lo que indica que la rotación de proveedores tiene una influencia negativa en la rentabilidad de la empresa (Tabla 4).</w:t>
      </w:r>
      <w:r w:rsidR="00DB54C2">
        <w:rPr>
          <w:rFonts w:ascii="Times New Roman" w:eastAsia="Arial" w:hAnsi="Times New Roman" w:cs="Times New Roman"/>
          <w:szCs w:val="24"/>
          <w:lang w:val="es-ES" w:eastAsia="es-CO"/>
        </w:rPr>
        <w:t xml:space="preserve"> </w:t>
      </w:r>
      <w:r w:rsidRPr="00FC35E5">
        <w:rPr>
          <w:rFonts w:ascii="Times New Roman" w:eastAsia="Arial" w:hAnsi="Times New Roman" w:cs="Times New Roman"/>
          <w:szCs w:val="24"/>
          <w:lang w:val="es-ES" w:eastAsia="es-CO"/>
        </w:rPr>
        <w:t>En el caso del CCE se destaca una correlación positiva significativa de 0.7 con el margen bruto. Sin embargo, se observa una correlación negativa con el margen operativo, ROA y ROE (Tabla 4).</w:t>
      </w:r>
      <w:r w:rsidR="00DB54C2">
        <w:rPr>
          <w:rFonts w:ascii="Times New Roman" w:eastAsia="Arial" w:hAnsi="Times New Roman" w:cs="Times New Roman"/>
          <w:szCs w:val="24"/>
          <w:lang w:val="es-ES" w:eastAsia="es-CO"/>
        </w:rPr>
        <w:t xml:space="preserve"> </w:t>
      </w:r>
      <w:r w:rsidRPr="00FC35E5">
        <w:rPr>
          <w:rFonts w:ascii="Times New Roman" w:eastAsia="Arial" w:hAnsi="Times New Roman" w:cs="Times New Roman"/>
          <w:szCs w:val="24"/>
          <w:lang w:val="es-ES" w:eastAsia="es-CO"/>
        </w:rPr>
        <w:t>Por lo anterior, se puede decir que la rotación de cartera (en días) desempeña un papel fundamental en el aumento de la rentabilidad en el ciclo de caja de efectivo.</w:t>
      </w:r>
    </w:p>
    <w:p w14:paraId="32E4EFCC" w14:textId="0AE2931E" w:rsidR="00D55F2B" w:rsidRPr="00E24DC6" w:rsidRDefault="00D55F2B" w:rsidP="00A630DC">
      <w:pPr>
        <w:spacing w:after="0"/>
        <w:ind w:firstLine="284"/>
        <w:rPr>
          <w:rFonts w:ascii="Times New Roman" w:eastAsia="Arial" w:hAnsi="Times New Roman" w:cs="Times New Roman"/>
          <w:szCs w:val="24"/>
          <w:lang w:val="es-ES" w:eastAsia="es-CO"/>
        </w:rPr>
      </w:pPr>
      <w:r w:rsidRPr="00E24DC6">
        <w:rPr>
          <w:rFonts w:ascii="Times New Roman" w:eastAsia="Arial" w:hAnsi="Times New Roman" w:cs="Times New Roman"/>
          <w:szCs w:val="24"/>
          <w:lang w:val="es-ES" w:eastAsia="es-CO"/>
        </w:rPr>
        <w:lastRenderedPageBreak/>
        <w:t>Se observa claramente que a medida que el CCE disminuye, tanto el ROA como el ROE aumentan, y viceversa. Esto se refleja gráficamente: cuando el CCE disminuye, los indicadores ROA y ROE tienden a incrementarse, y cuando el CCE aumenta, los indicadores ROA y ROE tienden a disminuir.</w:t>
      </w:r>
      <w:r w:rsidR="00DB54C2">
        <w:rPr>
          <w:rFonts w:ascii="Times New Roman" w:eastAsia="Arial" w:hAnsi="Times New Roman" w:cs="Times New Roman"/>
          <w:szCs w:val="24"/>
          <w:lang w:val="es-ES" w:eastAsia="es-CO"/>
        </w:rPr>
        <w:t xml:space="preserve"> </w:t>
      </w:r>
      <w:r w:rsidRPr="00E24DC6">
        <w:rPr>
          <w:rFonts w:ascii="Times New Roman" w:eastAsia="Arial" w:hAnsi="Times New Roman" w:cs="Times New Roman"/>
          <w:szCs w:val="24"/>
          <w:lang w:val="es-ES" w:eastAsia="es-CO"/>
        </w:rPr>
        <w:t xml:space="preserve">Por lo tanto, </w:t>
      </w:r>
      <w:r>
        <w:rPr>
          <w:rFonts w:ascii="Times New Roman" w:eastAsia="Arial" w:hAnsi="Times New Roman" w:cs="Times New Roman"/>
          <w:szCs w:val="24"/>
          <w:lang w:val="es-ES" w:eastAsia="es-CO"/>
        </w:rPr>
        <w:t>se puede afirmar</w:t>
      </w:r>
      <w:r w:rsidRPr="00E24DC6">
        <w:rPr>
          <w:rFonts w:ascii="Times New Roman" w:eastAsia="Arial" w:hAnsi="Times New Roman" w:cs="Times New Roman"/>
          <w:szCs w:val="24"/>
          <w:lang w:val="es-ES" w:eastAsia="es-CO"/>
        </w:rPr>
        <w:t xml:space="preserve"> que las grandes empresas del sector comercio con CCE más cortos, tienden a exhi</w:t>
      </w:r>
      <w:r>
        <w:rPr>
          <w:rFonts w:ascii="Times New Roman" w:eastAsia="Arial" w:hAnsi="Times New Roman" w:cs="Times New Roman"/>
          <w:szCs w:val="24"/>
          <w:lang w:val="es-ES" w:eastAsia="es-CO"/>
        </w:rPr>
        <w:t>bir un ROA y un ROE más elevado</w:t>
      </w:r>
      <w:r w:rsidRPr="00E24DC6">
        <w:rPr>
          <w:rFonts w:ascii="Times New Roman" w:eastAsia="Arial" w:hAnsi="Times New Roman" w:cs="Times New Roman"/>
          <w:szCs w:val="24"/>
          <w:lang w:val="es-ES" w:eastAsia="es-CO"/>
        </w:rPr>
        <w:t xml:space="preserve">, lo que señala una mayor eficiencia en la gestión del efectivo y una mayor rentabilidad. En contraste, una empresa con un ciclo de caja de efectivo más prolongado podría tener un ROA y ROE más bajos, indicando una menor eficiencia en la gestión del efectivo y una rentabilidad menor. Por ende, es crucial que las empresas monitoreen su </w:t>
      </w:r>
      <w:r w:rsidR="00DB54C2">
        <w:rPr>
          <w:rFonts w:ascii="Times New Roman" w:eastAsia="Arial" w:hAnsi="Times New Roman" w:cs="Times New Roman"/>
          <w:szCs w:val="24"/>
          <w:lang w:val="es-ES" w:eastAsia="es-CO"/>
        </w:rPr>
        <w:t xml:space="preserve">CCE </w:t>
      </w:r>
      <w:r w:rsidRPr="00E24DC6">
        <w:rPr>
          <w:rFonts w:ascii="Times New Roman" w:eastAsia="Arial" w:hAnsi="Times New Roman" w:cs="Times New Roman"/>
          <w:szCs w:val="24"/>
          <w:lang w:val="es-ES" w:eastAsia="es-CO"/>
        </w:rPr>
        <w:t>y busquen maneras de reducirlo para mejorar su liquidez sin afectar su renta</w:t>
      </w:r>
      <w:r>
        <w:rPr>
          <w:rFonts w:ascii="Times New Roman" w:eastAsia="Arial" w:hAnsi="Times New Roman" w:cs="Times New Roman"/>
          <w:szCs w:val="24"/>
          <w:lang w:val="es-ES" w:eastAsia="es-CO"/>
        </w:rPr>
        <w:t>bilidad.</w:t>
      </w:r>
      <w:r w:rsidR="00DB54C2">
        <w:rPr>
          <w:rFonts w:ascii="Times New Roman" w:eastAsia="Arial" w:hAnsi="Times New Roman" w:cs="Times New Roman"/>
          <w:szCs w:val="24"/>
          <w:lang w:val="es-ES" w:eastAsia="es-CO"/>
        </w:rPr>
        <w:t xml:space="preserve"> </w:t>
      </w:r>
      <w:r w:rsidRPr="00E24DC6">
        <w:rPr>
          <w:rFonts w:ascii="Times New Roman" w:eastAsia="Arial" w:hAnsi="Times New Roman" w:cs="Times New Roman"/>
          <w:szCs w:val="24"/>
          <w:lang w:val="es-ES" w:eastAsia="es-CO"/>
        </w:rPr>
        <w:t xml:space="preserve">La disminución en el </w:t>
      </w:r>
      <w:r>
        <w:rPr>
          <w:rFonts w:ascii="Times New Roman" w:eastAsia="Arial" w:hAnsi="Times New Roman" w:cs="Times New Roman"/>
          <w:szCs w:val="24"/>
          <w:lang w:val="es-ES" w:eastAsia="es-CO"/>
        </w:rPr>
        <w:t xml:space="preserve">CCE </w:t>
      </w:r>
      <w:r w:rsidRPr="00E24DC6">
        <w:rPr>
          <w:rFonts w:ascii="Times New Roman" w:eastAsia="Arial" w:hAnsi="Times New Roman" w:cs="Times New Roman"/>
          <w:szCs w:val="24"/>
          <w:lang w:val="es-ES" w:eastAsia="es-CO"/>
        </w:rPr>
        <w:t xml:space="preserve">se atribuye a una reducción en la rotación de cartera. Por tanto, se puede inferir que una gestión más efectiva de la cartera contribuye a la generación de utilidades y rentabilidad en las grandes empresas </w:t>
      </w:r>
      <w:r>
        <w:rPr>
          <w:rFonts w:ascii="Times New Roman" w:eastAsia="Arial" w:hAnsi="Times New Roman" w:cs="Times New Roman"/>
          <w:szCs w:val="24"/>
          <w:lang w:val="es-ES" w:eastAsia="es-CO"/>
        </w:rPr>
        <w:t>del sector comercio en Colombia.</w:t>
      </w:r>
    </w:p>
    <w:p w14:paraId="218512C1" w14:textId="77777777" w:rsidR="008D3F11" w:rsidRDefault="008D3F11" w:rsidP="00A630DC">
      <w:pPr>
        <w:spacing w:after="0"/>
        <w:ind w:firstLine="270"/>
        <w:rPr>
          <w:rFonts w:ascii="Times New Roman" w:hAnsi="Times New Roman" w:cs="Times New Roman"/>
          <w:szCs w:val="24"/>
          <w:lang w:val="es-ES"/>
        </w:rPr>
      </w:pPr>
    </w:p>
    <w:p w14:paraId="64E01548" w14:textId="77777777" w:rsidR="00F64A46" w:rsidRDefault="00F64A46" w:rsidP="00A630DC">
      <w:pPr>
        <w:spacing w:after="0"/>
        <w:rPr>
          <w:rFonts w:ascii="Times New Roman" w:hAnsi="Times New Roman" w:cs="Times New Roman"/>
          <w:b/>
          <w:bCs/>
          <w:i/>
          <w:iCs/>
          <w:sz w:val="20"/>
          <w:szCs w:val="20"/>
          <w:lang w:val="es-ES"/>
        </w:rPr>
      </w:pPr>
      <w:r w:rsidRPr="00F64A46">
        <w:rPr>
          <w:rFonts w:ascii="Times New Roman" w:hAnsi="Times New Roman" w:cs="Times New Roman"/>
          <w:b/>
          <w:bCs/>
          <w:sz w:val="20"/>
          <w:szCs w:val="20"/>
          <w:lang w:val="es-ES"/>
        </w:rPr>
        <w:t>Tabla 4.</w:t>
      </w:r>
      <w:r w:rsidRPr="00B10EDF">
        <w:rPr>
          <w:rFonts w:eastAsia="Arial"/>
          <w:b/>
          <w:bCs/>
          <w:sz w:val="20"/>
          <w:szCs w:val="20"/>
          <w:lang w:eastAsia="es-CO"/>
        </w:rPr>
        <w:t xml:space="preserve"> </w:t>
      </w:r>
      <w:r w:rsidRPr="00DD502C">
        <w:rPr>
          <w:rFonts w:ascii="Times New Roman" w:hAnsi="Times New Roman" w:cs="Times New Roman"/>
          <w:b/>
          <w:bCs/>
          <w:i/>
          <w:iCs/>
          <w:sz w:val="20"/>
          <w:szCs w:val="20"/>
          <w:lang w:val="es-ES"/>
        </w:rPr>
        <w:t>Correlación entre el ciclo de caja de efectivo y los indicadores de rentabilidad de las grandes empresas en Colombia.</w:t>
      </w:r>
    </w:p>
    <w:tbl>
      <w:tblPr>
        <w:tblW w:w="0" w:type="auto"/>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2180"/>
        <w:gridCol w:w="1123"/>
        <w:gridCol w:w="1416"/>
        <w:gridCol w:w="496"/>
        <w:gridCol w:w="487"/>
      </w:tblGrid>
      <w:tr w:rsidR="00DD502C" w:rsidRPr="001A0ACD" w14:paraId="4CD60EE1" w14:textId="77777777" w:rsidTr="0014344A">
        <w:trPr>
          <w:trHeight w:val="20"/>
          <w:jc w:val="center"/>
        </w:trPr>
        <w:tc>
          <w:tcPr>
            <w:tcW w:w="0" w:type="auto"/>
            <w:shd w:val="clear" w:color="auto" w:fill="auto"/>
            <w:noWrap/>
            <w:vAlign w:val="bottom"/>
            <w:hideMark/>
          </w:tcPr>
          <w:p w14:paraId="614E4BF7" w14:textId="7D77B030" w:rsidR="00DD502C" w:rsidRPr="0014344A" w:rsidRDefault="00FA3EB0"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CORRELACIÓN</w:t>
            </w:r>
          </w:p>
        </w:tc>
        <w:tc>
          <w:tcPr>
            <w:tcW w:w="0" w:type="auto"/>
            <w:shd w:val="clear" w:color="auto" w:fill="auto"/>
            <w:noWrap/>
            <w:vAlign w:val="center"/>
            <w:hideMark/>
          </w:tcPr>
          <w:p w14:paraId="13C52171" w14:textId="77777777" w:rsidR="00DD502C" w:rsidRPr="0014344A" w:rsidRDefault="00DD502C"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Margen Bruto</w:t>
            </w:r>
          </w:p>
        </w:tc>
        <w:tc>
          <w:tcPr>
            <w:tcW w:w="0" w:type="auto"/>
            <w:shd w:val="clear" w:color="auto" w:fill="auto"/>
            <w:noWrap/>
            <w:vAlign w:val="center"/>
            <w:hideMark/>
          </w:tcPr>
          <w:p w14:paraId="0CA0B64F" w14:textId="77777777" w:rsidR="00DD502C" w:rsidRPr="0014344A" w:rsidRDefault="00DD502C"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Margen Operativo</w:t>
            </w:r>
          </w:p>
        </w:tc>
        <w:tc>
          <w:tcPr>
            <w:tcW w:w="0" w:type="auto"/>
            <w:shd w:val="clear" w:color="auto" w:fill="auto"/>
            <w:noWrap/>
            <w:vAlign w:val="center"/>
            <w:hideMark/>
          </w:tcPr>
          <w:p w14:paraId="0C7EA867" w14:textId="77777777" w:rsidR="00DD502C" w:rsidRPr="0014344A" w:rsidRDefault="00DD502C"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ROA</w:t>
            </w:r>
          </w:p>
        </w:tc>
        <w:tc>
          <w:tcPr>
            <w:tcW w:w="0" w:type="auto"/>
            <w:shd w:val="clear" w:color="auto" w:fill="auto"/>
            <w:noWrap/>
            <w:vAlign w:val="center"/>
            <w:hideMark/>
          </w:tcPr>
          <w:p w14:paraId="720F37A1" w14:textId="77777777" w:rsidR="00DD502C" w:rsidRPr="0014344A" w:rsidRDefault="00DD502C" w:rsidP="00A630DC">
            <w:pPr>
              <w:spacing w:after="0"/>
              <w:jc w:val="center"/>
              <w:rPr>
                <w:rFonts w:ascii="Times New Roman" w:hAnsi="Times New Roman" w:cs="Times New Roman"/>
                <w:b/>
                <w:bCs/>
                <w:color w:val="000000"/>
                <w:sz w:val="16"/>
                <w:szCs w:val="16"/>
                <w:lang w:eastAsia="es-CO"/>
              </w:rPr>
            </w:pPr>
            <w:r w:rsidRPr="0014344A">
              <w:rPr>
                <w:rFonts w:ascii="Times New Roman" w:hAnsi="Times New Roman" w:cs="Times New Roman"/>
                <w:b/>
                <w:bCs/>
                <w:color w:val="000000"/>
                <w:sz w:val="16"/>
                <w:szCs w:val="16"/>
                <w:lang w:eastAsia="es-CO"/>
              </w:rPr>
              <w:t>ROE</w:t>
            </w:r>
          </w:p>
        </w:tc>
      </w:tr>
      <w:tr w:rsidR="00DD502C" w:rsidRPr="001A0ACD" w14:paraId="5B543231" w14:textId="77777777" w:rsidTr="0014344A">
        <w:trPr>
          <w:trHeight w:val="20"/>
          <w:jc w:val="center"/>
        </w:trPr>
        <w:tc>
          <w:tcPr>
            <w:tcW w:w="0" w:type="auto"/>
            <w:shd w:val="clear" w:color="auto" w:fill="auto"/>
            <w:noWrap/>
            <w:vAlign w:val="bottom"/>
            <w:hideMark/>
          </w:tcPr>
          <w:p w14:paraId="4B059D16" w14:textId="77777777" w:rsidR="00DD502C" w:rsidRPr="0014344A" w:rsidRDefault="00DD502C"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Rotación de Inventario (Días)</w:t>
            </w:r>
          </w:p>
        </w:tc>
        <w:tc>
          <w:tcPr>
            <w:tcW w:w="0" w:type="auto"/>
            <w:shd w:val="clear" w:color="auto" w:fill="auto"/>
            <w:noWrap/>
            <w:vAlign w:val="bottom"/>
            <w:hideMark/>
          </w:tcPr>
          <w:p w14:paraId="31683C8B"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0,3</w:t>
            </w:r>
          </w:p>
        </w:tc>
        <w:tc>
          <w:tcPr>
            <w:tcW w:w="0" w:type="auto"/>
            <w:shd w:val="clear" w:color="auto" w:fill="auto"/>
            <w:noWrap/>
            <w:vAlign w:val="bottom"/>
            <w:hideMark/>
          </w:tcPr>
          <w:p w14:paraId="06E77B63"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0,5</w:t>
            </w:r>
          </w:p>
        </w:tc>
        <w:tc>
          <w:tcPr>
            <w:tcW w:w="0" w:type="auto"/>
            <w:shd w:val="clear" w:color="auto" w:fill="auto"/>
            <w:noWrap/>
            <w:vAlign w:val="bottom"/>
            <w:hideMark/>
          </w:tcPr>
          <w:p w14:paraId="7975451A"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0,2</w:t>
            </w:r>
          </w:p>
        </w:tc>
        <w:tc>
          <w:tcPr>
            <w:tcW w:w="0" w:type="auto"/>
            <w:shd w:val="clear" w:color="auto" w:fill="auto"/>
            <w:noWrap/>
            <w:vAlign w:val="bottom"/>
            <w:hideMark/>
          </w:tcPr>
          <w:p w14:paraId="22E8E2DE"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0,2</w:t>
            </w:r>
          </w:p>
        </w:tc>
      </w:tr>
      <w:tr w:rsidR="00DD502C" w:rsidRPr="001A0ACD" w14:paraId="17140FA2" w14:textId="77777777" w:rsidTr="0014344A">
        <w:trPr>
          <w:trHeight w:val="20"/>
          <w:jc w:val="center"/>
        </w:trPr>
        <w:tc>
          <w:tcPr>
            <w:tcW w:w="0" w:type="auto"/>
            <w:shd w:val="clear" w:color="auto" w:fill="auto"/>
            <w:noWrap/>
            <w:vAlign w:val="bottom"/>
            <w:hideMark/>
          </w:tcPr>
          <w:p w14:paraId="48166FF2" w14:textId="77777777" w:rsidR="00DD502C" w:rsidRPr="0014344A" w:rsidRDefault="00DD502C"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Rotación de cartera (Días)</w:t>
            </w:r>
          </w:p>
        </w:tc>
        <w:tc>
          <w:tcPr>
            <w:tcW w:w="0" w:type="auto"/>
            <w:shd w:val="clear" w:color="000000" w:fill="C6EFCE"/>
            <w:noWrap/>
            <w:vAlign w:val="bottom"/>
            <w:hideMark/>
          </w:tcPr>
          <w:p w14:paraId="1FD17134" w14:textId="77777777" w:rsidR="00DD502C" w:rsidRPr="0014344A" w:rsidRDefault="00DD502C" w:rsidP="00A630DC">
            <w:pPr>
              <w:spacing w:after="0"/>
              <w:jc w:val="right"/>
              <w:rPr>
                <w:rFonts w:ascii="Times New Roman" w:hAnsi="Times New Roman" w:cs="Times New Roman"/>
                <w:color w:val="006100"/>
                <w:sz w:val="16"/>
                <w:szCs w:val="16"/>
                <w:lang w:eastAsia="es-CO"/>
              </w:rPr>
            </w:pPr>
            <w:r w:rsidRPr="0014344A">
              <w:rPr>
                <w:rFonts w:ascii="Times New Roman" w:hAnsi="Times New Roman" w:cs="Times New Roman"/>
                <w:color w:val="006100"/>
                <w:sz w:val="16"/>
                <w:szCs w:val="16"/>
                <w:lang w:eastAsia="es-CO"/>
              </w:rPr>
              <w:t>0,8</w:t>
            </w:r>
          </w:p>
        </w:tc>
        <w:tc>
          <w:tcPr>
            <w:tcW w:w="0" w:type="auto"/>
            <w:shd w:val="clear" w:color="000000" w:fill="FFC7CE"/>
            <w:noWrap/>
            <w:vAlign w:val="bottom"/>
            <w:hideMark/>
          </w:tcPr>
          <w:p w14:paraId="40F0AD02" w14:textId="77777777" w:rsidR="00DD502C" w:rsidRPr="0014344A" w:rsidRDefault="00DD502C" w:rsidP="00A630DC">
            <w:pPr>
              <w:spacing w:after="0"/>
              <w:jc w:val="right"/>
              <w:rPr>
                <w:rFonts w:ascii="Times New Roman" w:hAnsi="Times New Roman" w:cs="Times New Roman"/>
                <w:color w:val="9C0006"/>
                <w:sz w:val="16"/>
                <w:szCs w:val="16"/>
                <w:lang w:eastAsia="es-CO"/>
              </w:rPr>
            </w:pPr>
            <w:r w:rsidRPr="0014344A">
              <w:rPr>
                <w:rFonts w:ascii="Times New Roman" w:hAnsi="Times New Roman" w:cs="Times New Roman"/>
                <w:color w:val="9C0006"/>
                <w:sz w:val="16"/>
                <w:szCs w:val="16"/>
                <w:lang w:eastAsia="es-CO"/>
              </w:rPr>
              <w:t>-0,7</w:t>
            </w:r>
          </w:p>
        </w:tc>
        <w:tc>
          <w:tcPr>
            <w:tcW w:w="0" w:type="auto"/>
            <w:shd w:val="clear" w:color="000000" w:fill="FFC7CE"/>
            <w:noWrap/>
            <w:vAlign w:val="bottom"/>
            <w:hideMark/>
          </w:tcPr>
          <w:p w14:paraId="6C2A0CC0" w14:textId="77777777" w:rsidR="00DD502C" w:rsidRPr="0014344A" w:rsidRDefault="00DD502C" w:rsidP="00A630DC">
            <w:pPr>
              <w:spacing w:after="0"/>
              <w:jc w:val="right"/>
              <w:rPr>
                <w:rFonts w:ascii="Times New Roman" w:hAnsi="Times New Roman" w:cs="Times New Roman"/>
                <w:color w:val="9C0006"/>
                <w:sz w:val="16"/>
                <w:szCs w:val="16"/>
                <w:lang w:eastAsia="es-CO"/>
              </w:rPr>
            </w:pPr>
            <w:r w:rsidRPr="0014344A">
              <w:rPr>
                <w:rFonts w:ascii="Times New Roman" w:hAnsi="Times New Roman" w:cs="Times New Roman"/>
                <w:color w:val="9C0006"/>
                <w:sz w:val="16"/>
                <w:szCs w:val="16"/>
                <w:lang w:eastAsia="es-CO"/>
              </w:rPr>
              <w:t>-0,9</w:t>
            </w:r>
          </w:p>
        </w:tc>
        <w:tc>
          <w:tcPr>
            <w:tcW w:w="0" w:type="auto"/>
            <w:shd w:val="clear" w:color="000000" w:fill="FFC7CE"/>
            <w:noWrap/>
            <w:vAlign w:val="bottom"/>
            <w:hideMark/>
          </w:tcPr>
          <w:p w14:paraId="24381897" w14:textId="77777777" w:rsidR="00DD502C" w:rsidRPr="0014344A" w:rsidRDefault="00DD502C" w:rsidP="00A630DC">
            <w:pPr>
              <w:spacing w:after="0"/>
              <w:jc w:val="right"/>
              <w:rPr>
                <w:rFonts w:ascii="Times New Roman" w:hAnsi="Times New Roman" w:cs="Times New Roman"/>
                <w:color w:val="9C0006"/>
                <w:sz w:val="16"/>
                <w:szCs w:val="16"/>
                <w:lang w:eastAsia="es-CO"/>
              </w:rPr>
            </w:pPr>
            <w:r w:rsidRPr="0014344A">
              <w:rPr>
                <w:rFonts w:ascii="Times New Roman" w:hAnsi="Times New Roman" w:cs="Times New Roman"/>
                <w:color w:val="9C0006"/>
                <w:sz w:val="16"/>
                <w:szCs w:val="16"/>
                <w:lang w:eastAsia="es-CO"/>
              </w:rPr>
              <w:t>-0,9</w:t>
            </w:r>
          </w:p>
        </w:tc>
      </w:tr>
      <w:tr w:rsidR="00DD502C" w:rsidRPr="001A0ACD" w14:paraId="05D3A38D" w14:textId="77777777" w:rsidTr="0014344A">
        <w:trPr>
          <w:trHeight w:val="20"/>
          <w:jc w:val="center"/>
        </w:trPr>
        <w:tc>
          <w:tcPr>
            <w:tcW w:w="0" w:type="auto"/>
            <w:shd w:val="clear" w:color="auto" w:fill="auto"/>
            <w:noWrap/>
            <w:vAlign w:val="bottom"/>
            <w:hideMark/>
          </w:tcPr>
          <w:p w14:paraId="77A864DB" w14:textId="77777777" w:rsidR="00DD502C" w:rsidRPr="0014344A" w:rsidRDefault="00DD502C"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Rotación de proveedores (Días)</w:t>
            </w:r>
          </w:p>
        </w:tc>
        <w:tc>
          <w:tcPr>
            <w:tcW w:w="0" w:type="auto"/>
            <w:shd w:val="clear" w:color="auto" w:fill="auto"/>
            <w:noWrap/>
            <w:vAlign w:val="bottom"/>
            <w:hideMark/>
          </w:tcPr>
          <w:p w14:paraId="12322FCE"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0,6</w:t>
            </w:r>
          </w:p>
        </w:tc>
        <w:tc>
          <w:tcPr>
            <w:tcW w:w="0" w:type="auto"/>
            <w:shd w:val="clear" w:color="auto" w:fill="auto"/>
            <w:noWrap/>
            <w:vAlign w:val="bottom"/>
            <w:hideMark/>
          </w:tcPr>
          <w:p w14:paraId="2A60AA42"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-0,1</w:t>
            </w:r>
          </w:p>
        </w:tc>
        <w:tc>
          <w:tcPr>
            <w:tcW w:w="0" w:type="auto"/>
            <w:shd w:val="clear" w:color="auto" w:fill="auto"/>
            <w:noWrap/>
            <w:vAlign w:val="bottom"/>
            <w:hideMark/>
          </w:tcPr>
          <w:p w14:paraId="59707733"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-0,4</w:t>
            </w:r>
          </w:p>
        </w:tc>
        <w:tc>
          <w:tcPr>
            <w:tcW w:w="0" w:type="auto"/>
            <w:shd w:val="clear" w:color="auto" w:fill="auto"/>
            <w:noWrap/>
            <w:vAlign w:val="bottom"/>
            <w:hideMark/>
          </w:tcPr>
          <w:p w14:paraId="4A99B578"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-0,4</w:t>
            </w:r>
          </w:p>
        </w:tc>
      </w:tr>
      <w:tr w:rsidR="00DD502C" w:rsidRPr="001A0ACD" w14:paraId="66914430" w14:textId="77777777" w:rsidTr="0014344A">
        <w:trPr>
          <w:trHeight w:val="20"/>
          <w:jc w:val="center"/>
        </w:trPr>
        <w:tc>
          <w:tcPr>
            <w:tcW w:w="0" w:type="auto"/>
            <w:shd w:val="clear" w:color="auto" w:fill="auto"/>
            <w:noWrap/>
            <w:vAlign w:val="bottom"/>
            <w:hideMark/>
          </w:tcPr>
          <w:p w14:paraId="2335FB5E" w14:textId="77777777" w:rsidR="00DD502C" w:rsidRPr="0014344A" w:rsidRDefault="00DD502C" w:rsidP="00A630DC">
            <w:pPr>
              <w:spacing w:after="0"/>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Ciclo de caja de efectivo (CCE)</w:t>
            </w:r>
          </w:p>
        </w:tc>
        <w:tc>
          <w:tcPr>
            <w:tcW w:w="0" w:type="auto"/>
            <w:shd w:val="clear" w:color="000000" w:fill="C6EFCE"/>
            <w:noWrap/>
            <w:vAlign w:val="bottom"/>
            <w:hideMark/>
          </w:tcPr>
          <w:p w14:paraId="68F8FFE4" w14:textId="77777777" w:rsidR="00DD502C" w:rsidRPr="0014344A" w:rsidRDefault="00DD502C" w:rsidP="00A630DC">
            <w:pPr>
              <w:spacing w:after="0"/>
              <w:jc w:val="right"/>
              <w:rPr>
                <w:rFonts w:ascii="Times New Roman" w:hAnsi="Times New Roman" w:cs="Times New Roman"/>
                <w:color w:val="006100"/>
                <w:sz w:val="16"/>
                <w:szCs w:val="16"/>
                <w:lang w:eastAsia="es-CO"/>
              </w:rPr>
            </w:pPr>
            <w:r w:rsidRPr="0014344A">
              <w:rPr>
                <w:rFonts w:ascii="Times New Roman" w:hAnsi="Times New Roman" w:cs="Times New Roman"/>
                <w:color w:val="006100"/>
                <w:sz w:val="16"/>
                <w:szCs w:val="16"/>
                <w:lang w:eastAsia="es-CO"/>
              </w:rPr>
              <w:t>0,7</w:t>
            </w:r>
          </w:p>
        </w:tc>
        <w:tc>
          <w:tcPr>
            <w:tcW w:w="0" w:type="auto"/>
            <w:shd w:val="clear" w:color="auto" w:fill="auto"/>
            <w:noWrap/>
            <w:vAlign w:val="bottom"/>
            <w:hideMark/>
          </w:tcPr>
          <w:p w14:paraId="337DB741"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-0,4</w:t>
            </w:r>
          </w:p>
        </w:tc>
        <w:tc>
          <w:tcPr>
            <w:tcW w:w="0" w:type="auto"/>
            <w:shd w:val="clear" w:color="auto" w:fill="auto"/>
            <w:noWrap/>
            <w:vAlign w:val="bottom"/>
            <w:hideMark/>
          </w:tcPr>
          <w:p w14:paraId="78EC01E4"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-0,5</w:t>
            </w:r>
          </w:p>
        </w:tc>
        <w:tc>
          <w:tcPr>
            <w:tcW w:w="0" w:type="auto"/>
            <w:shd w:val="clear" w:color="auto" w:fill="auto"/>
            <w:noWrap/>
            <w:vAlign w:val="bottom"/>
            <w:hideMark/>
          </w:tcPr>
          <w:p w14:paraId="11117A66" w14:textId="77777777" w:rsidR="00DD502C" w:rsidRPr="0014344A" w:rsidRDefault="00DD502C" w:rsidP="00A630DC">
            <w:pPr>
              <w:spacing w:after="0"/>
              <w:jc w:val="right"/>
              <w:rPr>
                <w:rFonts w:ascii="Times New Roman" w:hAnsi="Times New Roman" w:cs="Times New Roman"/>
                <w:color w:val="000000"/>
                <w:sz w:val="16"/>
                <w:szCs w:val="16"/>
                <w:lang w:eastAsia="es-CO"/>
              </w:rPr>
            </w:pPr>
            <w:r w:rsidRPr="0014344A">
              <w:rPr>
                <w:rFonts w:ascii="Times New Roman" w:hAnsi="Times New Roman" w:cs="Times New Roman"/>
                <w:color w:val="000000"/>
                <w:sz w:val="16"/>
                <w:szCs w:val="16"/>
                <w:lang w:eastAsia="es-CO"/>
              </w:rPr>
              <w:t>-0,5</w:t>
            </w:r>
          </w:p>
        </w:tc>
      </w:tr>
    </w:tbl>
    <w:p w14:paraId="523C5F68" w14:textId="313293E8" w:rsidR="00DD502C" w:rsidRDefault="00DD502C" w:rsidP="00A630DC">
      <w:pPr>
        <w:tabs>
          <w:tab w:val="left" w:pos="284"/>
          <w:tab w:val="left" w:pos="426"/>
        </w:tabs>
        <w:spacing w:after="0"/>
        <w:rPr>
          <w:rFonts w:ascii="Times New Roman" w:hAnsi="Times New Roman" w:cs="Times New Roman"/>
          <w:bCs/>
          <w:sz w:val="20"/>
          <w:szCs w:val="20"/>
          <w:lang w:val="es-ES"/>
        </w:rPr>
      </w:pPr>
      <w:r w:rsidRPr="004903C9">
        <w:rPr>
          <w:rFonts w:ascii="Times New Roman" w:hAnsi="Times New Roman" w:cs="Times New Roman"/>
          <w:b/>
          <w:bCs/>
          <w:sz w:val="20"/>
          <w:szCs w:val="20"/>
          <w:lang w:val="es-ES"/>
        </w:rPr>
        <w:t>Fuente:</w:t>
      </w:r>
      <w:r w:rsidRPr="004903C9">
        <w:rPr>
          <w:rFonts w:ascii="Times New Roman" w:hAnsi="Times New Roman" w:cs="Times New Roman"/>
          <w:bCs/>
          <w:sz w:val="20"/>
          <w:szCs w:val="20"/>
          <w:lang w:val="es-ES"/>
        </w:rPr>
        <w:t xml:space="preserve"> elaboración propia a partir de la base de datos de la Superintendencia de Sociedades SIIS</w:t>
      </w:r>
    </w:p>
    <w:p w14:paraId="59225F1D" w14:textId="77777777" w:rsidR="001A0ACD" w:rsidRPr="0014344A" w:rsidRDefault="001A0ACD" w:rsidP="00A630DC">
      <w:pPr>
        <w:pStyle w:val="Prrafodelista"/>
        <w:spacing w:after="0"/>
        <w:ind w:left="0"/>
        <w:rPr>
          <w:rFonts w:ascii="Times New Roman" w:hAnsi="Times New Roman" w:cs="Times New Roman"/>
          <w:szCs w:val="24"/>
          <w:lang w:val="es-ES"/>
        </w:rPr>
      </w:pPr>
    </w:p>
    <w:p w14:paraId="20124116" w14:textId="0B085144" w:rsidR="00140BF2" w:rsidRPr="008D05DE" w:rsidRDefault="003617E5" w:rsidP="00A630DC">
      <w:pPr>
        <w:pStyle w:val="Prrafodelista"/>
        <w:spacing w:after="0"/>
        <w:ind w:left="0"/>
        <w:rPr>
          <w:rFonts w:ascii="Times New Roman" w:hAnsi="Times New Roman" w:cs="Times New Roman"/>
          <w:b/>
          <w:szCs w:val="24"/>
          <w:lang w:val="es-ES"/>
        </w:rPr>
      </w:pPr>
      <w:r w:rsidRPr="008D05DE">
        <w:rPr>
          <w:rFonts w:ascii="Times New Roman" w:hAnsi="Times New Roman" w:cs="Times New Roman"/>
          <w:b/>
          <w:szCs w:val="24"/>
          <w:lang w:val="es-ES"/>
        </w:rPr>
        <w:t>Conclusiones</w:t>
      </w:r>
    </w:p>
    <w:p w14:paraId="2A1095B0" w14:textId="5CA51F29" w:rsidR="00E23B08" w:rsidRPr="008D05DE" w:rsidRDefault="00E23B08" w:rsidP="00A630DC">
      <w:pPr>
        <w:spacing w:after="0"/>
        <w:ind w:firstLine="284"/>
        <w:rPr>
          <w:rFonts w:ascii="Times New Roman" w:hAnsi="Times New Roman" w:cs="Times New Roman"/>
          <w:color w:val="000000"/>
          <w:szCs w:val="24"/>
          <w:lang w:val="es-ES"/>
        </w:rPr>
      </w:pPr>
    </w:p>
    <w:p w14:paraId="786253EE" w14:textId="0C6FDAC2" w:rsidR="00E24DC6" w:rsidRPr="00E24DC6" w:rsidRDefault="00E24DC6" w:rsidP="00A630DC">
      <w:pPr>
        <w:spacing w:after="0"/>
        <w:ind w:firstLine="284"/>
        <w:rPr>
          <w:rFonts w:ascii="Times New Roman" w:eastAsia="Arial" w:hAnsi="Times New Roman" w:cs="Times New Roman"/>
          <w:szCs w:val="24"/>
          <w:lang w:val="es-ES" w:eastAsia="es-CO"/>
        </w:rPr>
      </w:pPr>
      <w:r w:rsidRPr="00E24DC6">
        <w:rPr>
          <w:rFonts w:ascii="Times New Roman" w:eastAsia="Arial" w:hAnsi="Times New Roman" w:cs="Times New Roman"/>
          <w:szCs w:val="24"/>
          <w:lang w:val="es-ES" w:eastAsia="es-CO"/>
        </w:rPr>
        <w:t xml:space="preserve">El ciclo </w:t>
      </w:r>
      <w:r w:rsidR="001A0ACD">
        <w:rPr>
          <w:rFonts w:ascii="Times New Roman" w:eastAsia="Arial" w:hAnsi="Times New Roman" w:cs="Times New Roman"/>
          <w:szCs w:val="24"/>
          <w:lang w:val="es-ES" w:eastAsia="es-CO"/>
        </w:rPr>
        <w:t>CCE</w:t>
      </w:r>
      <w:r w:rsidRPr="00E24DC6">
        <w:rPr>
          <w:rFonts w:ascii="Times New Roman" w:eastAsia="Arial" w:hAnsi="Times New Roman" w:cs="Times New Roman"/>
          <w:szCs w:val="24"/>
          <w:lang w:val="es-ES" w:eastAsia="es-CO"/>
        </w:rPr>
        <w:t xml:space="preserve"> en las grandes empresas del sector comercio en Colombia, durante los años 2016 a 2022, disminuyó en 6 días. Evento causado específicamente por la eficiencia en la administración de la cartera, dado que pasó de un período de cobro de 65 a 56 días.</w:t>
      </w:r>
      <w:r w:rsidR="001A0ACD">
        <w:rPr>
          <w:rFonts w:ascii="Times New Roman" w:eastAsia="Arial" w:hAnsi="Times New Roman" w:cs="Times New Roman"/>
          <w:szCs w:val="24"/>
          <w:lang w:val="es-ES" w:eastAsia="es-CO"/>
        </w:rPr>
        <w:t xml:space="preserve"> </w:t>
      </w:r>
      <w:r w:rsidRPr="00E24DC6">
        <w:rPr>
          <w:rFonts w:ascii="Times New Roman" w:eastAsia="Arial" w:hAnsi="Times New Roman" w:cs="Times New Roman"/>
          <w:szCs w:val="24"/>
          <w:lang w:val="es-ES" w:eastAsia="es-CO"/>
        </w:rPr>
        <w:t>En cuanto a los índices de margen, se evidenci</w:t>
      </w:r>
      <w:r w:rsidR="001A0ACD">
        <w:rPr>
          <w:rFonts w:ascii="Times New Roman" w:eastAsia="Arial" w:hAnsi="Times New Roman" w:cs="Times New Roman"/>
          <w:szCs w:val="24"/>
          <w:lang w:val="es-ES" w:eastAsia="es-CO"/>
        </w:rPr>
        <w:t>ó</w:t>
      </w:r>
      <w:r w:rsidRPr="00E24DC6">
        <w:rPr>
          <w:rFonts w:ascii="Times New Roman" w:eastAsia="Arial" w:hAnsi="Times New Roman" w:cs="Times New Roman"/>
          <w:szCs w:val="24"/>
          <w:lang w:val="es-ES" w:eastAsia="es-CO"/>
        </w:rPr>
        <w:t xml:space="preserve"> que las grandes empresas del sector comercio en Colombia, presentaron una disminución en 6,25% en el margen bruto, mientras obtuvieron un aumento del 1,68% en el margen operacional. Esta situación evidencia que  las  grandes empresas obtuvieron una mejor administración de los gastos que de los c</w:t>
      </w:r>
      <w:r w:rsidR="00AA30B4">
        <w:rPr>
          <w:rFonts w:ascii="Times New Roman" w:eastAsia="Arial" w:hAnsi="Times New Roman" w:cs="Times New Roman"/>
          <w:szCs w:val="24"/>
          <w:lang w:val="es-ES" w:eastAsia="es-CO"/>
        </w:rPr>
        <w:t>ompras, resultado de sus</w:t>
      </w:r>
      <w:r w:rsidRPr="00E24DC6">
        <w:rPr>
          <w:rFonts w:ascii="Times New Roman" w:eastAsia="Arial" w:hAnsi="Times New Roman" w:cs="Times New Roman"/>
          <w:szCs w:val="24"/>
          <w:lang w:val="es-ES" w:eastAsia="es-CO"/>
        </w:rPr>
        <w:t xml:space="preserve"> operacionales.</w:t>
      </w:r>
    </w:p>
    <w:p w14:paraId="3EC3B5EB" w14:textId="05069746" w:rsidR="00E24DC6" w:rsidRPr="00E24DC6" w:rsidRDefault="00E24DC6" w:rsidP="00A630DC">
      <w:pPr>
        <w:spacing w:after="0"/>
        <w:ind w:firstLine="284"/>
        <w:rPr>
          <w:rFonts w:ascii="Times New Roman" w:eastAsia="Arial" w:hAnsi="Times New Roman" w:cs="Times New Roman"/>
          <w:szCs w:val="24"/>
          <w:lang w:val="es-ES" w:eastAsia="es-CO"/>
        </w:rPr>
      </w:pPr>
      <w:r w:rsidRPr="00E24DC6">
        <w:rPr>
          <w:rFonts w:ascii="Times New Roman" w:eastAsia="Arial" w:hAnsi="Times New Roman" w:cs="Times New Roman"/>
          <w:szCs w:val="24"/>
          <w:lang w:val="es-ES" w:eastAsia="es-CO"/>
        </w:rPr>
        <w:t>En lo referente a la rentabilidad, tanto el ROA como el ROE, obtuvieron un crecimiento del 2,61% y el 9,30% respectivamente, evidenciando una mejora en la generación de utilidad neta, o una buena administración en los activos y el patrimonio.</w:t>
      </w:r>
      <w:r w:rsidR="001A0ACD">
        <w:rPr>
          <w:rFonts w:ascii="Times New Roman" w:eastAsia="Arial" w:hAnsi="Times New Roman" w:cs="Times New Roman"/>
          <w:szCs w:val="24"/>
          <w:lang w:val="es-ES" w:eastAsia="es-CO"/>
        </w:rPr>
        <w:t xml:space="preserve"> </w:t>
      </w:r>
      <w:r w:rsidRPr="00E24DC6">
        <w:rPr>
          <w:rFonts w:ascii="Times New Roman" w:eastAsia="Arial" w:hAnsi="Times New Roman" w:cs="Times New Roman"/>
          <w:szCs w:val="24"/>
          <w:lang w:val="es-ES" w:eastAsia="es-CO"/>
        </w:rPr>
        <w:t>La relación negativa entre CCE y los indicadores de margen operativo, ROA y ROE destaca la importancia de una gestión efectiva de liquidez. Empresas con ciclos de caja de efectivo más cortos tienden a ser más rentables.</w:t>
      </w:r>
    </w:p>
    <w:p w14:paraId="664508E7" w14:textId="587C375F" w:rsidR="00E24DC6" w:rsidRDefault="00E24DC6" w:rsidP="00A630DC">
      <w:pPr>
        <w:spacing w:after="0"/>
        <w:ind w:firstLine="284"/>
        <w:rPr>
          <w:rFonts w:ascii="Times New Roman" w:eastAsia="Arial" w:hAnsi="Times New Roman" w:cs="Times New Roman"/>
          <w:szCs w:val="24"/>
          <w:lang w:val="es-ES" w:eastAsia="es-CO"/>
        </w:rPr>
      </w:pPr>
      <w:r w:rsidRPr="00E24DC6">
        <w:rPr>
          <w:rFonts w:ascii="Times New Roman" w:eastAsia="Arial" w:hAnsi="Times New Roman" w:cs="Times New Roman"/>
          <w:szCs w:val="24"/>
          <w:lang w:val="es-ES" w:eastAsia="es-CO"/>
        </w:rPr>
        <w:t>La correlación negativa observada entre la rotación de cartera y las métricas de margen y rentabilidad sugieren que una gestión eficaz de cuentas por cobrar puede tener un impacto positivo en la rentabilidad de la empresa. La gestión de la cartera, es el inductor de las grandes empresas comerciales para la generación de rentabilidad</w:t>
      </w:r>
      <w:r w:rsidR="006F6BEE">
        <w:rPr>
          <w:rFonts w:ascii="Times New Roman" w:eastAsia="Arial" w:hAnsi="Times New Roman" w:cs="Times New Roman"/>
          <w:szCs w:val="24"/>
          <w:lang w:val="es-ES" w:eastAsia="es-CO"/>
        </w:rPr>
        <w:t>.</w:t>
      </w:r>
    </w:p>
    <w:p w14:paraId="306518C5" w14:textId="77777777" w:rsidR="006F6BEE" w:rsidRDefault="006F6BEE" w:rsidP="00A630DC">
      <w:pPr>
        <w:spacing w:after="0"/>
        <w:ind w:firstLine="284"/>
        <w:rPr>
          <w:rFonts w:ascii="Times New Roman" w:eastAsia="Arial" w:hAnsi="Times New Roman" w:cs="Times New Roman"/>
          <w:szCs w:val="24"/>
          <w:lang w:val="es-ES" w:eastAsia="es-CO"/>
        </w:rPr>
      </w:pPr>
    </w:p>
    <w:p w14:paraId="5CCF7677" w14:textId="77777777" w:rsidR="00CB517C" w:rsidRDefault="00CB517C" w:rsidP="00A630DC">
      <w:pPr>
        <w:spacing w:after="0"/>
        <w:ind w:firstLine="284"/>
        <w:rPr>
          <w:rFonts w:ascii="Times New Roman" w:eastAsia="Arial" w:hAnsi="Times New Roman" w:cs="Times New Roman"/>
          <w:szCs w:val="24"/>
          <w:lang w:val="es-ES" w:eastAsia="es-CO"/>
        </w:rPr>
      </w:pPr>
    </w:p>
    <w:p w14:paraId="187842F6" w14:textId="77777777" w:rsidR="00CB517C" w:rsidRDefault="00CB517C" w:rsidP="00A630DC">
      <w:pPr>
        <w:spacing w:after="0"/>
        <w:ind w:firstLine="284"/>
        <w:rPr>
          <w:rFonts w:ascii="Times New Roman" w:eastAsia="Arial" w:hAnsi="Times New Roman" w:cs="Times New Roman"/>
          <w:szCs w:val="24"/>
          <w:lang w:val="es-ES" w:eastAsia="es-CO"/>
        </w:rPr>
      </w:pPr>
    </w:p>
    <w:p w14:paraId="15BFA61E" w14:textId="77777777" w:rsidR="00CB517C" w:rsidRDefault="00CB517C" w:rsidP="00A630DC">
      <w:pPr>
        <w:spacing w:after="0"/>
        <w:ind w:firstLine="284"/>
        <w:rPr>
          <w:rFonts w:ascii="Times New Roman" w:eastAsia="Arial" w:hAnsi="Times New Roman" w:cs="Times New Roman"/>
          <w:szCs w:val="24"/>
          <w:lang w:val="es-ES" w:eastAsia="es-CO"/>
        </w:rPr>
      </w:pPr>
    </w:p>
    <w:p w14:paraId="68CAD4AD" w14:textId="77777777" w:rsidR="00CB517C" w:rsidRDefault="00CB517C" w:rsidP="00A630DC">
      <w:pPr>
        <w:spacing w:after="0"/>
        <w:ind w:firstLine="284"/>
        <w:rPr>
          <w:rFonts w:ascii="Times New Roman" w:eastAsia="Arial" w:hAnsi="Times New Roman" w:cs="Times New Roman"/>
          <w:szCs w:val="24"/>
          <w:lang w:val="es-ES" w:eastAsia="es-CO"/>
        </w:rPr>
      </w:pPr>
    </w:p>
    <w:p w14:paraId="6BF54D24" w14:textId="77777777" w:rsidR="00CB517C" w:rsidRDefault="00CB517C" w:rsidP="00A630DC">
      <w:pPr>
        <w:spacing w:after="0"/>
        <w:ind w:firstLine="284"/>
        <w:rPr>
          <w:rFonts w:ascii="Times New Roman" w:eastAsia="Arial" w:hAnsi="Times New Roman" w:cs="Times New Roman"/>
          <w:szCs w:val="24"/>
          <w:lang w:val="es-ES" w:eastAsia="es-CO"/>
        </w:rPr>
      </w:pPr>
    </w:p>
    <w:p w14:paraId="058635DB" w14:textId="68E6115F" w:rsidR="00E85E64" w:rsidRPr="0014344A" w:rsidRDefault="003617E5" w:rsidP="00A630DC">
      <w:pPr>
        <w:pStyle w:val="Textoindependiente21"/>
        <w:rPr>
          <w:rFonts w:ascii="Times New Roman" w:hAnsi="Times New Roman"/>
          <w:b/>
          <w:sz w:val="24"/>
          <w:szCs w:val="24"/>
        </w:rPr>
      </w:pPr>
      <w:r w:rsidRPr="0014344A">
        <w:rPr>
          <w:rFonts w:ascii="Times New Roman" w:hAnsi="Times New Roman"/>
          <w:b/>
          <w:sz w:val="24"/>
          <w:szCs w:val="24"/>
        </w:rPr>
        <w:lastRenderedPageBreak/>
        <w:t>Referencias</w:t>
      </w:r>
    </w:p>
    <w:p w14:paraId="03C3426B" w14:textId="77777777" w:rsidR="00920CE2" w:rsidRPr="0014344A" w:rsidRDefault="00920CE2" w:rsidP="00A630DC">
      <w:pPr>
        <w:pStyle w:val="Bibliografa"/>
        <w:spacing w:after="0" w:line="240" w:lineRule="auto"/>
        <w:ind w:left="567" w:hanging="567"/>
        <w:jc w:val="both"/>
        <w:rPr>
          <w:rFonts w:ascii="Times New Roman" w:hAnsi="Times New Roman" w:cs="Times New Roman"/>
          <w:noProof/>
          <w:sz w:val="24"/>
          <w:szCs w:val="24"/>
        </w:rPr>
      </w:pPr>
    </w:p>
    <w:p w14:paraId="30B56867" w14:textId="500EC161"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lang w:val="en-US"/>
        </w:rPr>
        <w:fldChar w:fldCharType="begin" w:fldLock="1"/>
      </w:r>
      <w:r w:rsidRPr="005B5B52">
        <w:rPr>
          <w:rFonts w:ascii="Times New Roman" w:hAnsi="Times New Roman" w:cs="Times New Roman"/>
          <w:noProof/>
          <w:szCs w:val="24"/>
          <w:lang w:val="es-ES"/>
        </w:rPr>
        <w:instrText xml:space="preserve">ADDIN Mendeley Bibliography CSL_BIBLIOGRAPHY </w:instrText>
      </w:r>
      <w:r w:rsidRPr="005B5B52">
        <w:rPr>
          <w:rFonts w:ascii="Times New Roman" w:hAnsi="Times New Roman" w:cs="Times New Roman"/>
          <w:noProof/>
          <w:szCs w:val="24"/>
          <w:lang w:val="en-US"/>
        </w:rPr>
        <w:fldChar w:fldCharType="separate"/>
      </w:r>
      <w:r w:rsidRPr="005B5B52">
        <w:rPr>
          <w:rFonts w:ascii="Times New Roman" w:hAnsi="Times New Roman" w:cs="Times New Roman"/>
          <w:noProof/>
          <w:szCs w:val="24"/>
        </w:rPr>
        <w:t xml:space="preserve">Aguirre, C., Barona, C., &amp; Dávila, G. (2020). La rentabilidad como herramienta para la toma de decisiones: análisis empírico en una empresa industrial. </w:t>
      </w:r>
      <w:r w:rsidR="009F7C70" w:rsidRPr="005B5B52">
        <w:rPr>
          <w:rFonts w:ascii="Times New Roman" w:hAnsi="Times New Roman" w:cs="Times New Roman"/>
          <w:i/>
          <w:iCs/>
          <w:noProof/>
          <w:szCs w:val="24"/>
        </w:rPr>
        <w:t>Revista V</w:t>
      </w:r>
      <w:r w:rsidRPr="005B5B52">
        <w:rPr>
          <w:rFonts w:ascii="Times New Roman" w:hAnsi="Times New Roman" w:cs="Times New Roman"/>
          <w:i/>
          <w:iCs/>
          <w:noProof/>
          <w:szCs w:val="24"/>
        </w:rPr>
        <w:t>alor Contable</w:t>
      </w:r>
      <w:r w:rsidRPr="005B5B52">
        <w:rPr>
          <w:rFonts w:ascii="Times New Roman" w:hAnsi="Times New Roman" w:cs="Times New Roman"/>
          <w:noProof/>
          <w:szCs w:val="24"/>
        </w:rPr>
        <w:t>, 7</w:t>
      </w:r>
      <w:r w:rsidR="00F66B9B" w:rsidRPr="005B5B52">
        <w:rPr>
          <w:rFonts w:ascii="Times New Roman" w:hAnsi="Times New Roman" w:cs="Times New Roman"/>
          <w:noProof/>
          <w:szCs w:val="24"/>
        </w:rPr>
        <w:t>(42), 50–64.</w:t>
      </w:r>
      <w:r w:rsidR="00DD473B" w:rsidRPr="005B5B52">
        <w:rPr>
          <w:rFonts w:ascii="Times New Roman" w:hAnsi="Times New Roman" w:cs="Times New Roman"/>
          <w:noProof/>
          <w:szCs w:val="24"/>
        </w:rPr>
        <w:t xml:space="preserve"> Obtenido de </w:t>
      </w:r>
      <w:r w:rsidR="009F7C70" w:rsidRPr="005B5B52">
        <w:rPr>
          <w:rFonts w:ascii="Times New Roman" w:hAnsi="Times New Roman" w:cs="Times New Roman"/>
          <w:noProof/>
          <w:szCs w:val="24"/>
        </w:rPr>
        <w:t>https://typeset.io/pdf/la-rentabilidad-como-herramienta-para-la-toma-de-decisiones-3itod2v3c7.pdf</w:t>
      </w:r>
    </w:p>
    <w:p w14:paraId="2BB3DE35" w14:textId="77777777" w:rsidR="009F7C70" w:rsidRPr="005B5B52" w:rsidRDefault="009F7C70" w:rsidP="00A630DC">
      <w:pPr>
        <w:widowControl w:val="0"/>
        <w:autoSpaceDE w:val="0"/>
        <w:autoSpaceDN w:val="0"/>
        <w:adjustRightInd w:val="0"/>
        <w:spacing w:after="0"/>
        <w:ind w:left="480" w:hanging="480"/>
        <w:rPr>
          <w:rFonts w:ascii="Times New Roman" w:hAnsi="Times New Roman" w:cs="Times New Roman"/>
          <w:noProof/>
          <w:szCs w:val="24"/>
        </w:rPr>
      </w:pPr>
    </w:p>
    <w:p w14:paraId="3A731275" w14:textId="656A600C"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Anaya, H. O. (2018). </w:t>
      </w:r>
      <w:r w:rsidRPr="005B5B52">
        <w:rPr>
          <w:rFonts w:ascii="Times New Roman" w:hAnsi="Times New Roman" w:cs="Times New Roman"/>
          <w:i/>
          <w:iCs/>
          <w:noProof/>
          <w:szCs w:val="24"/>
        </w:rPr>
        <w:t>Analisis finanicero aplicado bajo NIIF</w:t>
      </w:r>
      <w:r w:rsidR="00833E3E" w:rsidRPr="005B5B52">
        <w:rPr>
          <w:rFonts w:ascii="Times New Roman" w:hAnsi="Times New Roman" w:cs="Times New Roman"/>
          <w:i/>
          <w:iCs/>
          <w:noProof/>
          <w:szCs w:val="24"/>
        </w:rPr>
        <w:t xml:space="preserve"> (6ªed)</w:t>
      </w:r>
      <w:r w:rsidRPr="005B5B52">
        <w:rPr>
          <w:rFonts w:ascii="Times New Roman" w:hAnsi="Times New Roman" w:cs="Times New Roman"/>
          <w:noProof/>
          <w:szCs w:val="24"/>
        </w:rPr>
        <w:t>.</w:t>
      </w:r>
      <w:r w:rsidR="0054538C" w:rsidRPr="005B5B52">
        <w:rPr>
          <w:rFonts w:ascii="Times New Roman" w:hAnsi="Times New Roman" w:cs="Times New Roman"/>
          <w:color w:val="05103E"/>
          <w:sz w:val="27"/>
          <w:szCs w:val="27"/>
        </w:rPr>
        <w:t xml:space="preserve"> </w:t>
      </w:r>
      <w:r w:rsidR="001A0ACD" w:rsidRPr="005B5B52">
        <w:rPr>
          <w:rFonts w:ascii="Times New Roman" w:hAnsi="Times New Roman" w:cs="Times New Roman"/>
          <w:szCs w:val="24"/>
        </w:rPr>
        <w:t>Colombia:</w:t>
      </w:r>
      <w:r w:rsidR="001A0ACD" w:rsidRPr="005B5B52">
        <w:rPr>
          <w:rFonts w:ascii="Times New Roman" w:hAnsi="Times New Roman" w:cs="Times New Roman"/>
          <w:color w:val="05103E"/>
          <w:sz w:val="27"/>
          <w:szCs w:val="27"/>
        </w:rPr>
        <w:t xml:space="preserve"> </w:t>
      </w:r>
      <w:r w:rsidR="0054538C" w:rsidRPr="005B5B52">
        <w:rPr>
          <w:rFonts w:ascii="Times New Roman" w:hAnsi="Times New Roman" w:cs="Times New Roman"/>
          <w:noProof/>
          <w:szCs w:val="24"/>
        </w:rPr>
        <w:t>U</w:t>
      </w:r>
      <w:r w:rsidR="001A0ACD" w:rsidRPr="005B5B52">
        <w:rPr>
          <w:rFonts w:ascii="Times New Roman" w:hAnsi="Times New Roman" w:cs="Times New Roman"/>
          <w:noProof/>
          <w:szCs w:val="24"/>
        </w:rPr>
        <w:t>niverisidad de</w:t>
      </w:r>
      <w:r w:rsidR="0054538C" w:rsidRPr="005B5B52">
        <w:rPr>
          <w:rFonts w:ascii="Times New Roman" w:hAnsi="Times New Roman" w:cs="Times New Roman"/>
          <w:noProof/>
          <w:szCs w:val="24"/>
        </w:rPr>
        <w:t xml:space="preserve"> Externado de Colombia.</w:t>
      </w:r>
      <w:r w:rsidRPr="005B5B52">
        <w:rPr>
          <w:rFonts w:ascii="Times New Roman" w:hAnsi="Times New Roman" w:cs="Times New Roman"/>
          <w:noProof/>
          <w:szCs w:val="24"/>
        </w:rPr>
        <w:t xml:space="preserve"> </w:t>
      </w:r>
    </w:p>
    <w:p w14:paraId="7831271A" w14:textId="77777777" w:rsidR="008C17CB" w:rsidRPr="005B5B52" w:rsidRDefault="008C17CB" w:rsidP="00A630DC">
      <w:pPr>
        <w:widowControl w:val="0"/>
        <w:autoSpaceDE w:val="0"/>
        <w:autoSpaceDN w:val="0"/>
        <w:adjustRightInd w:val="0"/>
        <w:spacing w:after="0"/>
        <w:ind w:left="480" w:hanging="480"/>
        <w:rPr>
          <w:rFonts w:ascii="Times New Roman" w:hAnsi="Times New Roman" w:cs="Times New Roman"/>
          <w:noProof/>
          <w:szCs w:val="24"/>
        </w:rPr>
      </w:pPr>
    </w:p>
    <w:p w14:paraId="6B97E094" w14:textId="0FEC6EF6"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Andrade, J. (2020). La investigación relacional y sus pilares: complejidad, rizoma y transdisciplina. </w:t>
      </w:r>
      <w:r w:rsidRPr="005B5B52">
        <w:rPr>
          <w:rFonts w:ascii="Times New Roman" w:hAnsi="Times New Roman" w:cs="Times New Roman"/>
          <w:i/>
          <w:iCs/>
          <w:noProof/>
          <w:szCs w:val="24"/>
        </w:rPr>
        <w:t>Reflexiones S</w:t>
      </w:r>
      <w:r w:rsidR="00FF5C44" w:rsidRPr="005B5B52">
        <w:rPr>
          <w:rFonts w:ascii="Times New Roman" w:hAnsi="Times New Roman" w:cs="Times New Roman"/>
          <w:i/>
          <w:iCs/>
          <w:noProof/>
          <w:szCs w:val="24"/>
        </w:rPr>
        <w:t xml:space="preserve">obre Investigación Integrativa. </w:t>
      </w:r>
      <w:r w:rsidRPr="005B5B52">
        <w:rPr>
          <w:rFonts w:ascii="Times New Roman" w:hAnsi="Times New Roman" w:cs="Times New Roman"/>
          <w:i/>
          <w:iCs/>
          <w:noProof/>
          <w:szCs w:val="24"/>
        </w:rPr>
        <w:t>Una Perspectiva Inter y Transdisciplinar</w:t>
      </w:r>
      <w:r w:rsidRPr="005B5B52">
        <w:rPr>
          <w:rFonts w:ascii="Times New Roman" w:hAnsi="Times New Roman" w:cs="Times New Roman"/>
          <w:noProof/>
          <w:szCs w:val="24"/>
        </w:rPr>
        <w:t xml:space="preserve">, </w:t>
      </w:r>
      <w:r w:rsidR="006F28E7" w:rsidRPr="005B5B52">
        <w:rPr>
          <w:rFonts w:ascii="Times New Roman" w:hAnsi="Times New Roman" w:cs="Times New Roman"/>
          <w:noProof/>
          <w:szCs w:val="24"/>
        </w:rPr>
        <w:t xml:space="preserve">65–89. Obtenido de </w:t>
      </w:r>
      <w:r w:rsidRPr="005B5B52">
        <w:rPr>
          <w:rFonts w:ascii="Times New Roman" w:hAnsi="Times New Roman" w:cs="Times New Roman"/>
          <w:noProof/>
          <w:szCs w:val="24"/>
        </w:rPr>
        <w:t>file:///C:/Users/Internet/Downloads/2020caplibroRizomapilares65-89 (1).pdf</w:t>
      </w:r>
    </w:p>
    <w:p w14:paraId="6C26CA68" w14:textId="77777777" w:rsidR="001A0ACD" w:rsidRPr="005B5B52" w:rsidRDefault="001A0ACD" w:rsidP="00A630DC">
      <w:pPr>
        <w:widowControl w:val="0"/>
        <w:autoSpaceDE w:val="0"/>
        <w:autoSpaceDN w:val="0"/>
        <w:adjustRightInd w:val="0"/>
        <w:spacing w:after="0"/>
        <w:ind w:left="480" w:hanging="480"/>
        <w:rPr>
          <w:rFonts w:ascii="Times New Roman" w:hAnsi="Times New Roman" w:cs="Times New Roman"/>
          <w:noProof/>
          <w:szCs w:val="24"/>
        </w:rPr>
      </w:pPr>
    </w:p>
    <w:p w14:paraId="079C3785" w14:textId="3FFCE1CA" w:rsidR="00B636B5"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Belloso, L., Fernández, N., &amp; Álvarez, D. (2021). </w:t>
      </w:r>
      <w:r w:rsidRPr="005B5B52">
        <w:rPr>
          <w:rFonts w:ascii="Times New Roman" w:hAnsi="Times New Roman" w:cs="Times New Roman"/>
          <w:noProof/>
          <w:szCs w:val="24"/>
          <w:lang w:val="en-US"/>
        </w:rPr>
        <w:t xml:space="preserve">Profitability in companies of construction and assembly. </w:t>
      </w:r>
      <w:r w:rsidRPr="005B5B52">
        <w:rPr>
          <w:rFonts w:ascii="Times New Roman" w:hAnsi="Times New Roman" w:cs="Times New Roman"/>
          <w:i/>
          <w:iCs/>
          <w:noProof/>
          <w:szCs w:val="24"/>
        </w:rPr>
        <w:t>Revista Científica Multidisciplinaria IPSA Scientia</w:t>
      </w:r>
      <w:r w:rsidRPr="005B5B52">
        <w:rPr>
          <w:rFonts w:ascii="Times New Roman" w:hAnsi="Times New Roman" w:cs="Times New Roman"/>
          <w:noProof/>
          <w:szCs w:val="24"/>
        </w:rPr>
        <w:t>, 6(</w:t>
      </w:r>
      <w:r w:rsidR="00B636B5" w:rsidRPr="005B5B52">
        <w:rPr>
          <w:rFonts w:ascii="Times New Roman" w:hAnsi="Times New Roman" w:cs="Times New Roman"/>
          <w:noProof/>
          <w:szCs w:val="24"/>
        </w:rPr>
        <w:t xml:space="preserve">1), 81–99. </w:t>
      </w:r>
      <w:r w:rsidR="001A0ACD" w:rsidRPr="005B5B52">
        <w:rPr>
          <w:rFonts w:ascii="Times New Roman" w:hAnsi="Times New Roman" w:cs="Times New Roman"/>
          <w:noProof/>
          <w:szCs w:val="24"/>
        </w:rPr>
        <w:t xml:space="preserve">doi: </w:t>
      </w:r>
      <w:r w:rsidR="00B636B5" w:rsidRPr="005B5B52">
        <w:rPr>
          <w:rFonts w:ascii="Times New Roman" w:hAnsi="Times New Roman" w:cs="Times New Roman"/>
          <w:noProof/>
          <w:szCs w:val="24"/>
        </w:rPr>
        <w:t>https://doi.org/10.25214/27114406.1055</w:t>
      </w:r>
    </w:p>
    <w:p w14:paraId="6D15442F" w14:textId="77777777" w:rsidR="00371C24" w:rsidRPr="005B5B52" w:rsidRDefault="00371C24" w:rsidP="00A630DC">
      <w:pPr>
        <w:widowControl w:val="0"/>
        <w:autoSpaceDE w:val="0"/>
        <w:autoSpaceDN w:val="0"/>
        <w:adjustRightInd w:val="0"/>
        <w:spacing w:after="0"/>
        <w:ind w:left="480" w:hanging="480"/>
        <w:rPr>
          <w:rFonts w:ascii="Times New Roman" w:hAnsi="Times New Roman" w:cs="Times New Roman"/>
          <w:noProof/>
          <w:szCs w:val="24"/>
        </w:rPr>
      </w:pPr>
    </w:p>
    <w:p w14:paraId="66132535" w14:textId="2EE988A6"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Bermúdez</w:t>
      </w:r>
      <w:r w:rsidR="001A0ACD" w:rsidRPr="005B5B52">
        <w:rPr>
          <w:rFonts w:ascii="Times New Roman" w:hAnsi="Times New Roman" w:cs="Times New Roman"/>
          <w:noProof/>
          <w:szCs w:val="24"/>
        </w:rPr>
        <w:t>-</w:t>
      </w:r>
      <w:r w:rsidRPr="005B5B52">
        <w:rPr>
          <w:rFonts w:ascii="Times New Roman" w:hAnsi="Times New Roman" w:cs="Times New Roman"/>
          <w:noProof/>
          <w:szCs w:val="24"/>
        </w:rPr>
        <w:t>Carrillo, L. A., &amp; Campos</w:t>
      </w:r>
      <w:r w:rsidR="001A0ACD" w:rsidRPr="005B5B52">
        <w:rPr>
          <w:rFonts w:ascii="Times New Roman" w:hAnsi="Times New Roman" w:cs="Times New Roman"/>
          <w:noProof/>
          <w:szCs w:val="24"/>
        </w:rPr>
        <w:t>-</w:t>
      </w:r>
      <w:r w:rsidRPr="005B5B52">
        <w:rPr>
          <w:rFonts w:ascii="Times New Roman" w:hAnsi="Times New Roman" w:cs="Times New Roman"/>
          <w:noProof/>
          <w:szCs w:val="24"/>
        </w:rPr>
        <w:t xml:space="preserve">Campos, D. (2022). La importancia de la administración eficiente del ciclo operativo en las pymes de Santa Cruz y Carrillo. </w:t>
      </w:r>
      <w:r w:rsidRPr="005B5B52">
        <w:rPr>
          <w:rFonts w:ascii="Times New Roman" w:hAnsi="Times New Roman" w:cs="Times New Roman"/>
          <w:i/>
          <w:iCs/>
          <w:noProof/>
          <w:szCs w:val="24"/>
        </w:rPr>
        <w:t>InterSedes</w:t>
      </w:r>
      <w:r w:rsidRPr="005B5B52">
        <w:rPr>
          <w:rFonts w:ascii="Times New Roman" w:hAnsi="Times New Roman" w:cs="Times New Roman"/>
          <w:noProof/>
          <w:szCs w:val="24"/>
        </w:rPr>
        <w:t>, 23, 75–93.</w:t>
      </w:r>
      <w:r w:rsidR="001A0ACD" w:rsidRPr="005B5B52">
        <w:rPr>
          <w:rFonts w:ascii="Times New Roman" w:hAnsi="Times New Roman" w:cs="Times New Roman"/>
          <w:noProof/>
          <w:szCs w:val="24"/>
        </w:rPr>
        <w:t xml:space="preserve"> doi: </w:t>
      </w:r>
      <w:r w:rsidRPr="005B5B52">
        <w:rPr>
          <w:rFonts w:ascii="Times New Roman" w:hAnsi="Times New Roman" w:cs="Times New Roman"/>
          <w:noProof/>
          <w:szCs w:val="24"/>
        </w:rPr>
        <w:t>https://doi.org/10.15517/isucr.v23i48.49652</w:t>
      </w:r>
    </w:p>
    <w:p w14:paraId="2B4EE6EA" w14:textId="77777777" w:rsidR="00117906" w:rsidRPr="005B5B52" w:rsidRDefault="00117906" w:rsidP="00A630DC">
      <w:pPr>
        <w:widowControl w:val="0"/>
        <w:autoSpaceDE w:val="0"/>
        <w:autoSpaceDN w:val="0"/>
        <w:adjustRightInd w:val="0"/>
        <w:spacing w:after="0"/>
        <w:ind w:left="480" w:hanging="480"/>
        <w:rPr>
          <w:rFonts w:ascii="Times New Roman" w:hAnsi="Times New Roman" w:cs="Times New Roman"/>
          <w:noProof/>
          <w:szCs w:val="24"/>
        </w:rPr>
      </w:pPr>
    </w:p>
    <w:p w14:paraId="0787495C" w14:textId="426106FC"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lang w:val="en-US"/>
        </w:rPr>
      </w:pPr>
      <w:r w:rsidRPr="005B5B52">
        <w:rPr>
          <w:rFonts w:ascii="Times New Roman" w:hAnsi="Times New Roman" w:cs="Times New Roman"/>
          <w:noProof/>
          <w:szCs w:val="24"/>
        </w:rPr>
        <w:t>Carchi</w:t>
      </w:r>
      <w:r w:rsidR="001A0ACD" w:rsidRPr="005B5B52">
        <w:rPr>
          <w:rFonts w:ascii="Times New Roman" w:hAnsi="Times New Roman" w:cs="Times New Roman"/>
          <w:noProof/>
          <w:szCs w:val="24"/>
        </w:rPr>
        <w:t>-</w:t>
      </w:r>
      <w:r w:rsidRPr="005B5B52">
        <w:rPr>
          <w:rFonts w:ascii="Times New Roman" w:hAnsi="Times New Roman" w:cs="Times New Roman"/>
          <w:noProof/>
          <w:szCs w:val="24"/>
        </w:rPr>
        <w:t>Arias, K. L., Crespo</w:t>
      </w:r>
      <w:r w:rsidR="001A0ACD" w:rsidRPr="005B5B52">
        <w:rPr>
          <w:rFonts w:ascii="Times New Roman" w:hAnsi="Times New Roman" w:cs="Times New Roman"/>
          <w:noProof/>
          <w:szCs w:val="24"/>
        </w:rPr>
        <w:t>-</w:t>
      </w:r>
      <w:r w:rsidRPr="005B5B52">
        <w:rPr>
          <w:rFonts w:ascii="Times New Roman" w:hAnsi="Times New Roman" w:cs="Times New Roman"/>
          <w:noProof/>
          <w:szCs w:val="24"/>
        </w:rPr>
        <w:t>García, M. K., González</w:t>
      </w:r>
      <w:r w:rsidR="001A0ACD" w:rsidRPr="005B5B52">
        <w:rPr>
          <w:rFonts w:ascii="Times New Roman" w:hAnsi="Times New Roman" w:cs="Times New Roman"/>
          <w:noProof/>
          <w:szCs w:val="24"/>
        </w:rPr>
        <w:t>-</w:t>
      </w:r>
      <w:r w:rsidRPr="005B5B52">
        <w:rPr>
          <w:rFonts w:ascii="Times New Roman" w:hAnsi="Times New Roman" w:cs="Times New Roman"/>
          <w:noProof/>
          <w:szCs w:val="24"/>
        </w:rPr>
        <w:t>Malla, S. E., &amp; Romero</w:t>
      </w:r>
      <w:r w:rsidR="001A0ACD" w:rsidRPr="005B5B52">
        <w:rPr>
          <w:rFonts w:ascii="Times New Roman" w:hAnsi="Times New Roman" w:cs="Times New Roman"/>
          <w:noProof/>
          <w:szCs w:val="24"/>
        </w:rPr>
        <w:t>-</w:t>
      </w:r>
      <w:r w:rsidRPr="005B5B52">
        <w:rPr>
          <w:rFonts w:ascii="Times New Roman" w:hAnsi="Times New Roman" w:cs="Times New Roman"/>
          <w:noProof/>
          <w:szCs w:val="24"/>
        </w:rPr>
        <w:t xml:space="preserve">Romero, E. J. (2020). Índices Financieros, La Clave De La Finanza Administrativa Aplicada a Una Empresa Manufacturera. </w:t>
      </w:r>
      <w:r w:rsidRPr="005B5B52">
        <w:rPr>
          <w:rFonts w:ascii="Times New Roman" w:hAnsi="Times New Roman" w:cs="Times New Roman"/>
          <w:i/>
          <w:iCs/>
          <w:noProof/>
          <w:szCs w:val="24"/>
          <w:lang w:val="en-US"/>
        </w:rPr>
        <w:t>INNOVA Research Journal</w:t>
      </w:r>
      <w:r w:rsidRPr="005B5B52">
        <w:rPr>
          <w:rFonts w:ascii="Times New Roman" w:hAnsi="Times New Roman" w:cs="Times New Roman"/>
          <w:noProof/>
          <w:szCs w:val="24"/>
          <w:lang w:val="en-US"/>
        </w:rPr>
        <w:t xml:space="preserve">, 5(2), 26–50. </w:t>
      </w:r>
      <w:r w:rsidR="001A0ACD" w:rsidRPr="005B5B52">
        <w:rPr>
          <w:rFonts w:ascii="Times New Roman" w:hAnsi="Times New Roman" w:cs="Times New Roman"/>
          <w:noProof/>
          <w:szCs w:val="24"/>
          <w:lang w:val="en-US"/>
        </w:rPr>
        <w:t xml:space="preserve">doi: </w:t>
      </w:r>
      <w:r w:rsidRPr="005B5B52">
        <w:rPr>
          <w:rFonts w:ascii="Times New Roman" w:hAnsi="Times New Roman" w:cs="Times New Roman"/>
          <w:noProof/>
          <w:szCs w:val="24"/>
          <w:lang w:val="en-US"/>
        </w:rPr>
        <w:t>https://doi.org/10.33890/innova.v5.n2.2020.1193</w:t>
      </w:r>
    </w:p>
    <w:p w14:paraId="0CFD7541" w14:textId="77777777" w:rsidR="00117906" w:rsidRPr="005B5B52" w:rsidRDefault="00117906" w:rsidP="00A630DC">
      <w:pPr>
        <w:widowControl w:val="0"/>
        <w:autoSpaceDE w:val="0"/>
        <w:autoSpaceDN w:val="0"/>
        <w:adjustRightInd w:val="0"/>
        <w:spacing w:after="0"/>
        <w:ind w:left="480" w:hanging="480"/>
        <w:rPr>
          <w:rFonts w:ascii="Times New Roman" w:hAnsi="Times New Roman" w:cs="Times New Roman"/>
          <w:noProof/>
          <w:szCs w:val="24"/>
          <w:lang w:val="en-US"/>
        </w:rPr>
      </w:pPr>
    </w:p>
    <w:p w14:paraId="6C15FF7F" w14:textId="1E48F0B5"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FE63A2">
        <w:rPr>
          <w:rFonts w:ascii="Times New Roman" w:hAnsi="Times New Roman" w:cs="Times New Roman"/>
          <w:noProof/>
          <w:szCs w:val="24"/>
          <w:lang w:val="es-ES"/>
        </w:rPr>
        <w:t xml:space="preserve">Ceballos, S. (2015). </w:t>
      </w:r>
      <w:r w:rsidRPr="005B5B52">
        <w:rPr>
          <w:rFonts w:ascii="Times New Roman" w:hAnsi="Times New Roman" w:cs="Times New Roman"/>
          <w:noProof/>
          <w:szCs w:val="24"/>
        </w:rPr>
        <w:t xml:space="preserve">La importancia de las estrategias para la administración eficiente del efectivo. </w:t>
      </w:r>
      <w:r w:rsidRPr="005B5B52">
        <w:rPr>
          <w:rFonts w:ascii="Times New Roman" w:hAnsi="Times New Roman" w:cs="Times New Roman"/>
          <w:i/>
          <w:iCs/>
          <w:noProof/>
          <w:szCs w:val="24"/>
        </w:rPr>
        <w:t>Observatorio De La Economia Latinoamericana</w:t>
      </w:r>
      <w:r w:rsidRPr="005B5B52">
        <w:rPr>
          <w:rFonts w:ascii="Times New Roman" w:hAnsi="Times New Roman" w:cs="Times New Roman"/>
          <w:noProof/>
          <w:szCs w:val="24"/>
        </w:rPr>
        <w:t xml:space="preserve">, </w:t>
      </w:r>
      <w:r w:rsidRPr="005B5B52">
        <w:rPr>
          <w:rFonts w:ascii="Times New Roman" w:hAnsi="Times New Roman" w:cs="Times New Roman"/>
          <w:i/>
          <w:iCs/>
          <w:noProof/>
          <w:szCs w:val="24"/>
        </w:rPr>
        <w:t>210</w:t>
      </w:r>
      <w:r w:rsidRPr="005B5B52">
        <w:rPr>
          <w:rFonts w:ascii="Times New Roman" w:hAnsi="Times New Roman" w:cs="Times New Roman"/>
          <w:noProof/>
          <w:szCs w:val="24"/>
        </w:rPr>
        <w:t>, 1–19.</w:t>
      </w:r>
      <w:r w:rsidR="009E2747" w:rsidRPr="005B5B52">
        <w:rPr>
          <w:rFonts w:ascii="Times New Roman" w:hAnsi="Times New Roman" w:cs="Times New Roman"/>
          <w:noProof/>
          <w:szCs w:val="24"/>
        </w:rPr>
        <w:t xml:space="preserve"> Obtenido de http://www.eumed.net/cursecon/ecolat/mx/2015/ciclo-efectivo.html</w:t>
      </w:r>
    </w:p>
    <w:p w14:paraId="54624C01" w14:textId="77777777" w:rsidR="001A6CEF" w:rsidRPr="005B5B52" w:rsidRDefault="001A6CEF" w:rsidP="00A630DC">
      <w:pPr>
        <w:widowControl w:val="0"/>
        <w:autoSpaceDE w:val="0"/>
        <w:autoSpaceDN w:val="0"/>
        <w:adjustRightInd w:val="0"/>
        <w:spacing w:after="0"/>
        <w:ind w:left="480" w:hanging="480"/>
        <w:rPr>
          <w:rFonts w:ascii="Times New Roman" w:hAnsi="Times New Roman" w:cs="Times New Roman"/>
          <w:noProof/>
          <w:szCs w:val="24"/>
        </w:rPr>
      </w:pPr>
    </w:p>
    <w:p w14:paraId="22F7AA5E" w14:textId="72FC225B"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Chaverra, L., Lopez, D., &amp; Velez, W. (2019). </w:t>
      </w:r>
      <w:r w:rsidRPr="005B5B52">
        <w:rPr>
          <w:rFonts w:ascii="Times New Roman" w:hAnsi="Times New Roman" w:cs="Times New Roman"/>
          <w:szCs w:val="24"/>
        </w:rPr>
        <w:t xml:space="preserve">El capital de trabajo operativo y su relación con la generación de valor de las empresas del sector de la construcción de edificios residenciales </w:t>
      </w:r>
      <w:r w:rsidR="00BA2CB4" w:rsidRPr="005B5B52">
        <w:rPr>
          <w:rFonts w:ascii="Times New Roman" w:hAnsi="Times New Roman" w:cs="Times New Roman"/>
          <w:szCs w:val="24"/>
        </w:rPr>
        <w:t>radicados</w:t>
      </w:r>
      <w:r w:rsidRPr="005B5B52">
        <w:rPr>
          <w:rFonts w:ascii="Times New Roman" w:hAnsi="Times New Roman" w:cs="Times New Roman"/>
          <w:szCs w:val="24"/>
        </w:rPr>
        <w:t xml:space="preserve"> en Medellín.</w:t>
      </w:r>
      <w:r w:rsidR="00BA2CB4" w:rsidRPr="005B5B52">
        <w:rPr>
          <w:rFonts w:ascii="Times New Roman" w:hAnsi="Times New Roman" w:cs="Times New Roman"/>
          <w:szCs w:val="24"/>
        </w:rPr>
        <w:t xml:space="preserve"> (</w:t>
      </w:r>
      <w:r w:rsidR="00BA2CB4" w:rsidRPr="005B5B52">
        <w:rPr>
          <w:rFonts w:ascii="Times New Roman" w:hAnsi="Times New Roman" w:cs="Times New Roman"/>
          <w:i/>
          <w:iCs/>
          <w:szCs w:val="24"/>
        </w:rPr>
        <w:t>Trabajo de especialización</w:t>
      </w:r>
      <w:r w:rsidR="00BA2CB4" w:rsidRPr="005B5B52">
        <w:rPr>
          <w:rFonts w:ascii="Times New Roman" w:hAnsi="Times New Roman" w:cs="Times New Roman"/>
          <w:szCs w:val="24"/>
        </w:rPr>
        <w:t xml:space="preserve">). Colombia: Institución Universitaria Esumer de Antioquia Especialización en Gerencia Financiera. Obtenido de </w:t>
      </w:r>
      <w:r w:rsidR="00C42AA4" w:rsidRPr="005B5B52">
        <w:rPr>
          <w:rFonts w:ascii="Times New Roman" w:hAnsi="Times New Roman" w:cs="Times New Roman"/>
          <w:szCs w:val="24"/>
        </w:rPr>
        <w:t>https://n9.cl/avcwti</w:t>
      </w:r>
    </w:p>
    <w:p w14:paraId="3FD48D3C" w14:textId="77777777" w:rsidR="00BA2CB4" w:rsidRPr="005B5B52" w:rsidRDefault="00BA2CB4" w:rsidP="00A630DC">
      <w:pPr>
        <w:widowControl w:val="0"/>
        <w:autoSpaceDE w:val="0"/>
        <w:autoSpaceDN w:val="0"/>
        <w:adjustRightInd w:val="0"/>
        <w:spacing w:after="0"/>
        <w:ind w:left="480" w:hanging="480"/>
        <w:rPr>
          <w:rFonts w:ascii="Times New Roman" w:hAnsi="Times New Roman" w:cs="Times New Roman"/>
          <w:noProof/>
          <w:szCs w:val="24"/>
        </w:rPr>
      </w:pPr>
    </w:p>
    <w:p w14:paraId="5A7448F0" w14:textId="2BECA3AD" w:rsidR="00A77C35"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lang w:val="en-US"/>
        </w:rPr>
      </w:pPr>
      <w:r w:rsidRPr="005B5B52">
        <w:rPr>
          <w:rFonts w:ascii="Times New Roman" w:hAnsi="Times New Roman" w:cs="Times New Roman"/>
          <w:noProof/>
          <w:szCs w:val="24"/>
        </w:rPr>
        <w:t>Cheol S.</w:t>
      </w:r>
      <w:r w:rsidR="001A0ACD" w:rsidRPr="005B5B52">
        <w:rPr>
          <w:rFonts w:ascii="Times New Roman" w:hAnsi="Times New Roman" w:cs="Times New Roman"/>
          <w:noProof/>
          <w:szCs w:val="24"/>
        </w:rPr>
        <w:t xml:space="preserve">, &amp; </w:t>
      </w:r>
      <w:r w:rsidRPr="005B5B52">
        <w:rPr>
          <w:rFonts w:ascii="Times New Roman" w:hAnsi="Times New Roman" w:cs="Times New Roman"/>
          <w:noProof/>
          <w:szCs w:val="24"/>
        </w:rPr>
        <w:t xml:space="preserve">Eun, B. G. R. (2018). Administración financiera internacional. </w:t>
      </w:r>
      <w:r w:rsidRPr="00FE63A2">
        <w:rPr>
          <w:rFonts w:ascii="Times New Roman" w:hAnsi="Times New Roman" w:cs="Times New Roman"/>
          <w:noProof/>
          <w:szCs w:val="24"/>
          <w:lang w:val="es-ES"/>
        </w:rPr>
        <w:t xml:space="preserve">In </w:t>
      </w:r>
      <w:r w:rsidRPr="00FE63A2">
        <w:rPr>
          <w:rFonts w:ascii="Times New Roman" w:hAnsi="Times New Roman" w:cs="Times New Roman"/>
          <w:i/>
          <w:iCs/>
          <w:noProof/>
          <w:szCs w:val="24"/>
          <w:lang w:val="es-ES"/>
        </w:rPr>
        <w:t>Analytical Biochemistry</w:t>
      </w:r>
      <w:r w:rsidR="001A0ACD" w:rsidRPr="00FE63A2">
        <w:rPr>
          <w:rFonts w:ascii="Times New Roman" w:hAnsi="Times New Roman" w:cs="Times New Roman"/>
          <w:i/>
          <w:iCs/>
          <w:noProof/>
          <w:szCs w:val="24"/>
          <w:lang w:val="es-ES"/>
        </w:rPr>
        <w:t xml:space="preserve">, </w:t>
      </w:r>
      <w:r w:rsidR="00FF5C44" w:rsidRPr="00FE63A2">
        <w:rPr>
          <w:rFonts w:ascii="Times New Roman" w:hAnsi="Times New Roman" w:cs="Times New Roman"/>
          <w:noProof/>
          <w:szCs w:val="24"/>
          <w:lang w:val="es-ES"/>
        </w:rPr>
        <w:t>11</w:t>
      </w:r>
      <w:r w:rsidR="001A0ACD" w:rsidRPr="00FE63A2">
        <w:rPr>
          <w:rFonts w:ascii="Times New Roman" w:hAnsi="Times New Roman" w:cs="Times New Roman"/>
          <w:noProof/>
          <w:szCs w:val="24"/>
          <w:lang w:val="es-ES"/>
        </w:rPr>
        <w:t>(</w:t>
      </w:r>
      <w:r w:rsidR="00FF5C44" w:rsidRPr="00FE63A2">
        <w:rPr>
          <w:rFonts w:ascii="Times New Roman" w:hAnsi="Times New Roman" w:cs="Times New Roman"/>
          <w:noProof/>
          <w:szCs w:val="24"/>
          <w:lang w:val="es-ES"/>
        </w:rPr>
        <w:t xml:space="preserve">1). </w:t>
      </w:r>
      <w:r w:rsidR="001A0ACD" w:rsidRPr="00FE63A2">
        <w:rPr>
          <w:rFonts w:ascii="Times New Roman" w:hAnsi="Times New Roman" w:cs="Times New Roman"/>
          <w:noProof/>
          <w:szCs w:val="24"/>
          <w:lang w:val="es-ES"/>
        </w:rPr>
        <w:t xml:space="preserve"> </w:t>
      </w:r>
      <w:r w:rsidR="001A0ACD" w:rsidRPr="005B5B52">
        <w:rPr>
          <w:rFonts w:ascii="Times New Roman" w:hAnsi="Times New Roman" w:cs="Times New Roman"/>
          <w:noProof/>
          <w:szCs w:val="24"/>
          <w:lang w:val="en-US"/>
        </w:rPr>
        <w:t xml:space="preserve">doi: </w:t>
      </w:r>
      <w:r w:rsidRPr="005B5B52">
        <w:rPr>
          <w:rFonts w:ascii="Times New Roman" w:hAnsi="Times New Roman" w:cs="Times New Roman"/>
          <w:noProof/>
          <w:szCs w:val="24"/>
          <w:lang w:val="en-US"/>
        </w:rPr>
        <w:t>https://doi.org/10.1080/07352689.2018.1441103%0Ahttp://www.chile.bmw-motorrad.cl/sync/showroom/lam/es/</w:t>
      </w:r>
    </w:p>
    <w:p w14:paraId="380BA1D2" w14:textId="77777777" w:rsidR="008722EB" w:rsidRPr="005B5B52" w:rsidRDefault="008722EB" w:rsidP="00A630DC">
      <w:pPr>
        <w:widowControl w:val="0"/>
        <w:autoSpaceDE w:val="0"/>
        <w:autoSpaceDN w:val="0"/>
        <w:adjustRightInd w:val="0"/>
        <w:spacing w:after="0"/>
        <w:ind w:left="480" w:hanging="480"/>
        <w:rPr>
          <w:rFonts w:ascii="Times New Roman" w:hAnsi="Times New Roman" w:cs="Times New Roman"/>
          <w:noProof/>
          <w:szCs w:val="24"/>
          <w:lang w:val="en-US"/>
        </w:rPr>
      </w:pPr>
    </w:p>
    <w:p w14:paraId="1324AE59" w14:textId="304FFAC4"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Cueva, J., &amp; Rojas, D. (2019). Estrategias de gestión del efectivo y rentabilidad de las empresas ecuatorianas: caso sectores construcción y transporte. </w:t>
      </w:r>
      <w:r w:rsidRPr="005B5B52">
        <w:rPr>
          <w:rFonts w:ascii="Times New Roman" w:hAnsi="Times New Roman" w:cs="Times New Roman"/>
          <w:i/>
          <w:iCs/>
          <w:noProof/>
          <w:szCs w:val="24"/>
        </w:rPr>
        <w:t>593 Digital Publisher CEIT</w:t>
      </w:r>
      <w:r w:rsidRPr="005B5B52">
        <w:rPr>
          <w:rFonts w:ascii="Times New Roman" w:hAnsi="Times New Roman" w:cs="Times New Roman"/>
          <w:noProof/>
          <w:szCs w:val="24"/>
        </w:rPr>
        <w:t>, 5–1(4), 39–48.</w:t>
      </w:r>
      <w:r w:rsidR="001A0ACD" w:rsidRPr="005B5B52">
        <w:rPr>
          <w:rFonts w:ascii="Times New Roman" w:hAnsi="Times New Roman" w:cs="Times New Roman"/>
          <w:noProof/>
          <w:szCs w:val="24"/>
        </w:rPr>
        <w:t xml:space="preserve"> doi: </w:t>
      </w:r>
      <w:r w:rsidRPr="005B5B52">
        <w:rPr>
          <w:rFonts w:ascii="Times New Roman" w:hAnsi="Times New Roman" w:cs="Times New Roman"/>
          <w:noProof/>
          <w:szCs w:val="24"/>
        </w:rPr>
        <w:t>https://doi.org/10.33386/593dp.2019.5-1.128</w:t>
      </w:r>
    </w:p>
    <w:p w14:paraId="314BCF94" w14:textId="77777777" w:rsidR="008722EB" w:rsidRPr="005B5B52" w:rsidRDefault="008722EB" w:rsidP="00A630DC">
      <w:pPr>
        <w:widowControl w:val="0"/>
        <w:autoSpaceDE w:val="0"/>
        <w:autoSpaceDN w:val="0"/>
        <w:adjustRightInd w:val="0"/>
        <w:spacing w:after="0"/>
        <w:ind w:left="480" w:hanging="480"/>
        <w:rPr>
          <w:rFonts w:ascii="Times New Roman" w:hAnsi="Times New Roman" w:cs="Times New Roman"/>
          <w:noProof/>
          <w:szCs w:val="24"/>
        </w:rPr>
      </w:pPr>
    </w:p>
    <w:p w14:paraId="0AE754F6" w14:textId="3C838A53" w:rsidR="00123125"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lastRenderedPageBreak/>
        <w:t xml:space="preserve">Dane. (2020). </w:t>
      </w:r>
      <w:r w:rsidRPr="005B5B52">
        <w:rPr>
          <w:rFonts w:ascii="Times New Roman" w:hAnsi="Times New Roman" w:cs="Times New Roman"/>
          <w:i/>
          <w:iCs/>
          <w:noProof/>
          <w:szCs w:val="24"/>
        </w:rPr>
        <w:t xml:space="preserve">Boletín Técnico. </w:t>
      </w:r>
      <w:r w:rsidR="00FF5C44" w:rsidRPr="005B5B52">
        <w:rPr>
          <w:rFonts w:ascii="Times New Roman" w:hAnsi="Times New Roman" w:cs="Times New Roman"/>
          <w:i/>
          <w:iCs/>
          <w:noProof/>
          <w:szCs w:val="24"/>
        </w:rPr>
        <w:t>1–29.</w:t>
      </w:r>
      <w:r w:rsidR="00697390" w:rsidRPr="005B5B52">
        <w:rPr>
          <w:rFonts w:ascii="Times New Roman" w:hAnsi="Times New Roman" w:cs="Times New Roman"/>
          <w:i/>
          <w:iCs/>
          <w:noProof/>
          <w:szCs w:val="24"/>
        </w:rPr>
        <w:t xml:space="preserve"> Encuesta anual de comercio</w:t>
      </w:r>
      <w:r w:rsidR="001A0ACD" w:rsidRPr="005B5B52">
        <w:rPr>
          <w:rFonts w:ascii="Times New Roman" w:hAnsi="Times New Roman" w:cs="Times New Roman"/>
          <w:noProof/>
          <w:szCs w:val="24"/>
        </w:rPr>
        <w:t>. O</w:t>
      </w:r>
      <w:r w:rsidR="00FF5C44" w:rsidRPr="005B5B52">
        <w:rPr>
          <w:rFonts w:ascii="Times New Roman" w:hAnsi="Times New Roman" w:cs="Times New Roman"/>
          <w:noProof/>
          <w:szCs w:val="24"/>
        </w:rPr>
        <w:t xml:space="preserve">btenido de </w:t>
      </w:r>
      <w:r w:rsidRPr="005B5B52">
        <w:rPr>
          <w:rFonts w:ascii="Times New Roman" w:hAnsi="Times New Roman" w:cs="Times New Roman"/>
          <w:noProof/>
          <w:szCs w:val="24"/>
        </w:rPr>
        <w:t>https://www.dane.gov.co/files/investigaciones/boletines/eac/bol_eac_2019.pdf</w:t>
      </w:r>
    </w:p>
    <w:p w14:paraId="4DBEE2E3" w14:textId="77777777" w:rsidR="00C42AA4" w:rsidRPr="005B5B52" w:rsidRDefault="00C42AA4" w:rsidP="00A630DC">
      <w:pPr>
        <w:widowControl w:val="0"/>
        <w:autoSpaceDE w:val="0"/>
        <w:autoSpaceDN w:val="0"/>
        <w:adjustRightInd w:val="0"/>
        <w:spacing w:after="0"/>
        <w:ind w:left="480" w:hanging="480"/>
        <w:rPr>
          <w:rFonts w:ascii="Times New Roman" w:hAnsi="Times New Roman" w:cs="Times New Roman"/>
          <w:noProof/>
          <w:szCs w:val="24"/>
        </w:rPr>
      </w:pPr>
    </w:p>
    <w:p w14:paraId="4144E256" w14:textId="58C5939B"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Delgado, M. E., Delgado, M. E., &amp; Russi, D. (n.d.). </w:t>
      </w:r>
      <w:r w:rsidRPr="005B5B52">
        <w:rPr>
          <w:rFonts w:ascii="Times New Roman" w:hAnsi="Times New Roman" w:cs="Times New Roman"/>
          <w:i/>
          <w:iCs/>
          <w:noProof/>
          <w:szCs w:val="24"/>
        </w:rPr>
        <w:t>Prospectiva_Diciembre_2020_completa</w:t>
      </w:r>
      <w:r w:rsidRPr="005B5B52">
        <w:rPr>
          <w:rFonts w:ascii="Times New Roman" w:hAnsi="Times New Roman" w:cs="Times New Roman"/>
          <w:noProof/>
          <w:szCs w:val="24"/>
        </w:rPr>
        <w:t>.</w:t>
      </w:r>
      <w:r w:rsidR="00763A02" w:rsidRPr="005B5B52">
        <w:rPr>
          <w:rFonts w:ascii="Times New Roman" w:hAnsi="Times New Roman" w:cs="Times New Roman"/>
          <w:noProof/>
          <w:szCs w:val="24"/>
        </w:rPr>
        <w:t xml:space="preserve"> Obtenido de. </w:t>
      </w:r>
      <w:r w:rsidRPr="005B5B52">
        <w:rPr>
          <w:rFonts w:ascii="Times New Roman" w:hAnsi="Times New Roman" w:cs="Times New Roman"/>
          <w:noProof/>
          <w:szCs w:val="24"/>
        </w:rPr>
        <w:t>file:///C:/Users/Internet/Downloads/Prospectiva_Diciembre_2020_completa.pdf</w:t>
      </w:r>
    </w:p>
    <w:p w14:paraId="1E25F534" w14:textId="77777777" w:rsidR="00763A02" w:rsidRPr="005B5B52" w:rsidRDefault="00763A02" w:rsidP="00A630DC">
      <w:pPr>
        <w:widowControl w:val="0"/>
        <w:autoSpaceDE w:val="0"/>
        <w:autoSpaceDN w:val="0"/>
        <w:adjustRightInd w:val="0"/>
        <w:spacing w:after="0"/>
        <w:ind w:left="480" w:hanging="480"/>
        <w:rPr>
          <w:rFonts w:ascii="Times New Roman" w:hAnsi="Times New Roman" w:cs="Times New Roman"/>
          <w:noProof/>
          <w:szCs w:val="24"/>
        </w:rPr>
      </w:pPr>
    </w:p>
    <w:p w14:paraId="0AABC182" w14:textId="6BC2DF97"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DNP. (2019). </w:t>
      </w:r>
      <w:r w:rsidRPr="005B5B52">
        <w:rPr>
          <w:rFonts w:ascii="Times New Roman" w:hAnsi="Times New Roman" w:cs="Times New Roman"/>
          <w:i/>
          <w:iCs/>
          <w:noProof/>
          <w:szCs w:val="24"/>
        </w:rPr>
        <w:t>Revisión de la productividad en las empresas en Colombia</w:t>
      </w:r>
      <w:r w:rsidRPr="005B5B52">
        <w:rPr>
          <w:rFonts w:ascii="Times New Roman" w:hAnsi="Times New Roman" w:cs="Times New Roman"/>
          <w:noProof/>
          <w:szCs w:val="24"/>
        </w:rPr>
        <w:t>.</w:t>
      </w:r>
      <w:r w:rsidR="002D03E5" w:rsidRPr="005B5B52">
        <w:rPr>
          <w:rFonts w:ascii="Times New Roman" w:hAnsi="Times New Roman" w:cs="Times New Roman"/>
          <w:noProof/>
          <w:szCs w:val="24"/>
        </w:rPr>
        <w:t xml:space="preserve"> Obtenido de https://n9.cl/0ockc</w:t>
      </w:r>
    </w:p>
    <w:p w14:paraId="290DFF81" w14:textId="77777777" w:rsidR="002D03E5" w:rsidRPr="005B5B52" w:rsidRDefault="002D03E5" w:rsidP="00A630DC">
      <w:pPr>
        <w:widowControl w:val="0"/>
        <w:autoSpaceDE w:val="0"/>
        <w:autoSpaceDN w:val="0"/>
        <w:adjustRightInd w:val="0"/>
        <w:spacing w:after="0"/>
        <w:ind w:left="480" w:hanging="480"/>
        <w:rPr>
          <w:rFonts w:ascii="Times New Roman" w:hAnsi="Times New Roman" w:cs="Times New Roman"/>
          <w:noProof/>
          <w:szCs w:val="24"/>
        </w:rPr>
      </w:pPr>
    </w:p>
    <w:p w14:paraId="7A2B4302" w14:textId="1865F4FF"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Espectador, E. L. (2015). </w:t>
      </w:r>
      <w:r w:rsidRPr="005B5B52">
        <w:rPr>
          <w:rFonts w:ascii="Times New Roman" w:hAnsi="Times New Roman" w:cs="Times New Roman"/>
          <w:i/>
          <w:iCs/>
          <w:noProof/>
          <w:szCs w:val="24"/>
        </w:rPr>
        <w:t xml:space="preserve">El 42% de empresas colombianas tiene problemas en operaciones de comercio exterior. </w:t>
      </w:r>
      <w:r w:rsidR="000E204E" w:rsidRPr="005B5B52">
        <w:rPr>
          <w:rFonts w:ascii="Times New Roman" w:hAnsi="Times New Roman" w:cs="Times New Roman"/>
          <w:noProof/>
          <w:szCs w:val="24"/>
        </w:rPr>
        <w:t xml:space="preserve">Obtenido de </w:t>
      </w:r>
      <w:r w:rsidRPr="005B5B52">
        <w:rPr>
          <w:rFonts w:ascii="Times New Roman" w:hAnsi="Times New Roman" w:cs="Times New Roman"/>
          <w:noProof/>
          <w:szCs w:val="24"/>
        </w:rPr>
        <w:t>https://www.elespectador.com/economia/el-42-de-empresas-colombianas-tiene-problemas-en-operaciones-de-comercio-exterior-article-547633/</w:t>
      </w:r>
    </w:p>
    <w:p w14:paraId="68935623" w14:textId="77777777" w:rsidR="009250C9" w:rsidRPr="005B5B52" w:rsidRDefault="009250C9" w:rsidP="00A630DC">
      <w:pPr>
        <w:widowControl w:val="0"/>
        <w:autoSpaceDE w:val="0"/>
        <w:autoSpaceDN w:val="0"/>
        <w:adjustRightInd w:val="0"/>
        <w:spacing w:after="0"/>
        <w:ind w:left="480" w:hanging="480"/>
        <w:rPr>
          <w:rFonts w:ascii="Times New Roman" w:hAnsi="Times New Roman" w:cs="Times New Roman"/>
          <w:noProof/>
          <w:szCs w:val="24"/>
        </w:rPr>
      </w:pPr>
    </w:p>
    <w:p w14:paraId="68B69910" w14:textId="19867931"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Gámez</w:t>
      </w:r>
      <w:r w:rsidR="001A0ACD" w:rsidRPr="005B5B52">
        <w:rPr>
          <w:rFonts w:ascii="Times New Roman" w:hAnsi="Times New Roman" w:cs="Times New Roman"/>
          <w:noProof/>
          <w:szCs w:val="24"/>
        </w:rPr>
        <w:t>-</w:t>
      </w:r>
      <w:r w:rsidRPr="005B5B52">
        <w:rPr>
          <w:rFonts w:ascii="Times New Roman" w:hAnsi="Times New Roman" w:cs="Times New Roman"/>
          <w:noProof/>
          <w:szCs w:val="24"/>
        </w:rPr>
        <w:t>Pitre, R. D., Palma</w:t>
      </w:r>
      <w:r w:rsidR="001A0ACD" w:rsidRPr="005B5B52">
        <w:rPr>
          <w:rFonts w:ascii="Times New Roman" w:hAnsi="Times New Roman" w:cs="Times New Roman"/>
          <w:noProof/>
          <w:szCs w:val="24"/>
        </w:rPr>
        <w:t>-</w:t>
      </w:r>
      <w:r w:rsidRPr="005B5B52">
        <w:rPr>
          <w:rFonts w:ascii="Times New Roman" w:hAnsi="Times New Roman" w:cs="Times New Roman"/>
          <w:noProof/>
          <w:szCs w:val="24"/>
        </w:rPr>
        <w:t>Cardoso, E., &amp; Beltrán</w:t>
      </w:r>
      <w:r w:rsidR="001A0ACD" w:rsidRPr="005B5B52">
        <w:rPr>
          <w:rFonts w:ascii="Times New Roman" w:hAnsi="Times New Roman" w:cs="Times New Roman"/>
          <w:noProof/>
          <w:szCs w:val="24"/>
        </w:rPr>
        <w:t>-</w:t>
      </w:r>
      <w:r w:rsidRPr="005B5B52">
        <w:rPr>
          <w:rFonts w:ascii="Times New Roman" w:hAnsi="Times New Roman" w:cs="Times New Roman"/>
          <w:noProof/>
          <w:szCs w:val="24"/>
        </w:rPr>
        <w:t xml:space="preserve">Villalobos, L. G. (2020). Planeación y rentabilidad financiera en empresas prestadoras de servicios de bombeo electrosumergible en PDVSA, venezuela. </w:t>
      </w:r>
      <w:r w:rsidRPr="005B5B52">
        <w:rPr>
          <w:rFonts w:ascii="Times New Roman" w:hAnsi="Times New Roman" w:cs="Times New Roman"/>
          <w:i/>
          <w:iCs/>
          <w:noProof/>
          <w:szCs w:val="24"/>
        </w:rPr>
        <w:t>Revista Innova Itfip</w:t>
      </w:r>
      <w:r w:rsidRPr="005B5B52">
        <w:rPr>
          <w:rFonts w:ascii="Times New Roman" w:hAnsi="Times New Roman" w:cs="Times New Roman"/>
          <w:noProof/>
          <w:szCs w:val="24"/>
        </w:rPr>
        <w:t xml:space="preserve">, 7(1), 78–87. </w:t>
      </w:r>
      <w:r w:rsidR="001A0ACD" w:rsidRPr="005B5B52">
        <w:rPr>
          <w:rFonts w:ascii="Times New Roman" w:hAnsi="Times New Roman" w:cs="Times New Roman"/>
          <w:noProof/>
          <w:szCs w:val="24"/>
        </w:rPr>
        <w:t xml:space="preserve">doi: </w:t>
      </w:r>
      <w:r w:rsidRPr="005B5B52">
        <w:rPr>
          <w:rFonts w:ascii="Times New Roman" w:hAnsi="Times New Roman" w:cs="Times New Roman"/>
          <w:noProof/>
          <w:szCs w:val="24"/>
        </w:rPr>
        <w:t>https://doi.org/10.54198/innova07.05</w:t>
      </w:r>
    </w:p>
    <w:p w14:paraId="5A1EECBB" w14:textId="77777777" w:rsidR="00CF6E9D" w:rsidRPr="005B5B52" w:rsidRDefault="00CF6E9D" w:rsidP="00A630DC">
      <w:pPr>
        <w:widowControl w:val="0"/>
        <w:autoSpaceDE w:val="0"/>
        <w:autoSpaceDN w:val="0"/>
        <w:adjustRightInd w:val="0"/>
        <w:spacing w:after="0"/>
        <w:ind w:left="480" w:hanging="480"/>
        <w:rPr>
          <w:rFonts w:ascii="Times New Roman" w:hAnsi="Times New Roman" w:cs="Times New Roman"/>
          <w:noProof/>
          <w:szCs w:val="24"/>
        </w:rPr>
      </w:pPr>
    </w:p>
    <w:p w14:paraId="401AE609" w14:textId="39060DAD"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Garc</w:t>
      </w:r>
      <w:r w:rsidR="001A0ACD" w:rsidRPr="005B5B52">
        <w:rPr>
          <w:rFonts w:ascii="Times New Roman" w:hAnsi="Times New Roman" w:cs="Times New Roman"/>
          <w:noProof/>
          <w:szCs w:val="24"/>
        </w:rPr>
        <w:t>í</w:t>
      </w:r>
      <w:r w:rsidRPr="005B5B52">
        <w:rPr>
          <w:rFonts w:ascii="Times New Roman" w:hAnsi="Times New Roman" w:cs="Times New Roman"/>
          <w:noProof/>
          <w:szCs w:val="24"/>
        </w:rPr>
        <w:t xml:space="preserve">a-Saenz, M. P. (2012). </w:t>
      </w:r>
      <w:r w:rsidRPr="005B5B52">
        <w:rPr>
          <w:rFonts w:ascii="Times New Roman" w:hAnsi="Times New Roman" w:cs="Times New Roman"/>
          <w:i/>
          <w:iCs/>
          <w:noProof/>
          <w:szCs w:val="24"/>
        </w:rPr>
        <w:t xml:space="preserve">12 </w:t>
      </w:r>
      <w:r w:rsidR="00BC034D" w:rsidRPr="005B5B52">
        <w:rPr>
          <w:rFonts w:ascii="Times New Roman" w:hAnsi="Times New Roman" w:cs="Times New Roman"/>
          <w:i/>
          <w:iCs/>
          <w:noProof/>
          <w:szCs w:val="24"/>
        </w:rPr>
        <w:t>Guía práctica para la realización de trabajos fin de grado y trabajos fin de máster . EDITO.</w:t>
      </w:r>
      <w:r w:rsidR="001A0ACD" w:rsidRPr="005B5B52">
        <w:rPr>
          <w:rFonts w:ascii="Times New Roman" w:hAnsi="Times New Roman" w:cs="Times New Roman"/>
          <w:i/>
          <w:iCs/>
          <w:noProof/>
          <w:szCs w:val="24"/>
        </w:rPr>
        <w:t xml:space="preserve"> </w:t>
      </w:r>
      <w:r w:rsidR="00FF0EF4" w:rsidRPr="00CB517C">
        <w:rPr>
          <w:rFonts w:ascii="Times New Roman" w:hAnsi="Times New Roman" w:cs="Times New Roman"/>
          <w:noProof/>
          <w:szCs w:val="24"/>
        </w:rPr>
        <w:t>Obtenido de</w:t>
      </w:r>
      <w:r w:rsidR="00FF0EF4" w:rsidRPr="005B5B52">
        <w:rPr>
          <w:rFonts w:ascii="Times New Roman" w:hAnsi="Times New Roman" w:cs="Times New Roman"/>
          <w:i/>
          <w:iCs/>
          <w:noProof/>
          <w:szCs w:val="24"/>
        </w:rPr>
        <w:t xml:space="preserve"> </w:t>
      </w:r>
      <w:r w:rsidR="000D7100" w:rsidRPr="005B5B52">
        <w:rPr>
          <w:rFonts w:ascii="Times New Roman" w:hAnsi="Times New Roman" w:cs="Times New Roman"/>
          <w:i/>
          <w:iCs/>
          <w:noProof/>
          <w:szCs w:val="24"/>
        </w:rPr>
        <w:t>https://acortar.link/NYvxla</w:t>
      </w:r>
    </w:p>
    <w:p w14:paraId="2F3D2CBB" w14:textId="77777777" w:rsidR="003A045A" w:rsidRPr="005B5B52" w:rsidRDefault="003A045A" w:rsidP="00A630DC">
      <w:pPr>
        <w:widowControl w:val="0"/>
        <w:autoSpaceDE w:val="0"/>
        <w:autoSpaceDN w:val="0"/>
        <w:adjustRightInd w:val="0"/>
        <w:spacing w:after="0"/>
        <w:ind w:left="480" w:hanging="480"/>
        <w:rPr>
          <w:rFonts w:ascii="Times New Roman" w:hAnsi="Times New Roman" w:cs="Times New Roman"/>
          <w:noProof/>
          <w:szCs w:val="24"/>
        </w:rPr>
      </w:pPr>
    </w:p>
    <w:p w14:paraId="62F7BE56" w14:textId="7E55B84D"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lang w:val="en-US"/>
        </w:rPr>
      </w:pPr>
      <w:r w:rsidRPr="005B5B52">
        <w:rPr>
          <w:rFonts w:ascii="Times New Roman" w:hAnsi="Times New Roman" w:cs="Times New Roman"/>
          <w:noProof/>
          <w:szCs w:val="24"/>
        </w:rPr>
        <w:t xml:space="preserve">García, J. G., Uribe, E. M., &amp; Salazar, I. G. (2008). </w:t>
      </w:r>
      <w:r w:rsidRPr="005B5B52">
        <w:rPr>
          <w:rFonts w:ascii="Times New Roman" w:hAnsi="Times New Roman" w:cs="Times New Roman"/>
          <w:i/>
          <w:iCs/>
          <w:noProof/>
          <w:szCs w:val="24"/>
        </w:rPr>
        <w:t>Comercio exterior en Colombia Política, instituciones, costos y resultados</w:t>
      </w:r>
      <w:r w:rsidRPr="005B5B52">
        <w:rPr>
          <w:rFonts w:ascii="Times New Roman" w:hAnsi="Times New Roman" w:cs="Times New Roman"/>
          <w:noProof/>
          <w:szCs w:val="24"/>
        </w:rPr>
        <w:t xml:space="preserve">. </w:t>
      </w:r>
      <w:r w:rsidR="001A0ACD" w:rsidRPr="005B5B52">
        <w:rPr>
          <w:rFonts w:ascii="Times New Roman" w:hAnsi="Times New Roman" w:cs="Times New Roman"/>
          <w:noProof/>
          <w:szCs w:val="24"/>
          <w:lang w:val="en-US"/>
        </w:rPr>
        <w:t xml:space="preserve">Obtenido de </w:t>
      </w:r>
      <w:r w:rsidR="005D6FCE" w:rsidRPr="005B5B52">
        <w:rPr>
          <w:rFonts w:ascii="Times New Roman" w:hAnsi="Times New Roman" w:cs="Times New Roman"/>
          <w:noProof/>
          <w:szCs w:val="24"/>
          <w:lang w:val="en-US"/>
        </w:rPr>
        <w:t>file:///C:/Users/Internet/Downloads/p17054coll18_1237%20(1).pdf</w:t>
      </w:r>
    </w:p>
    <w:p w14:paraId="2FA86220" w14:textId="77777777" w:rsidR="00B677CC" w:rsidRPr="005B5B52" w:rsidRDefault="00B677CC" w:rsidP="00A630DC">
      <w:pPr>
        <w:widowControl w:val="0"/>
        <w:autoSpaceDE w:val="0"/>
        <w:autoSpaceDN w:val="0"/>
        <w:adjustRightInd w:val="0"/>
        <w:spacing w:after="0"/>
        <w:ind w:left="480" w:hanging="480"/>
        <w:rPr>
          <w:rFonts w:ascii="Times New Roman" w:hAnsi="Times New Roman" w:cs="Times New Roman"/>
          <w:noProof/>
          <w:szCs w:val="24"/>
          <w:lang w:val="en-US"/>
        </w:rPr>
      </w:pPr>
    </w:p>
    <w:p w14:paraId="554DC5A1" w14:textId="59DAC212"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lang w:val="en-US"/>
        </w:rPr>
        <w:t>Garc</w:t>
      </w:r>
      <w:r w:rsidR="001A0ACD" w:rsidRPr="005B5B52">
        <w:rPr>
          <w:rFonts w:ascii="Times New Roman" w:hAnsi="Times New Roman" w:cs="Times New Roman"/>
          <w:noProof/>
          <w:szCs w:val="24"/>
          <w:lang w:val="en-US"/>
        </w:rPr>
        <w:t>í</w:t>
      </w:r>
      <w:r w:rsidRPr="005B5B52">
        <w:rPr>
          <w:rFonts w:ascii="Times New Roman" w:hAnsi="Times New Roman" w:cs="Times New Roman"/>
          <w:noProof/>
          <w:szCs w:val="24"/>
          <w:lang w:val="en-US"/>
        </w:rPr>
        <w:t xml:space="preserve">a, O. L. (2009). </w:t>
      </w:r>
      <w:r w:rsidR="001A0ACD" w:rsidRPr="005B5B52">
        <w:rPr>
          <w:rFonts w:ascii="Times New Roman" w:hAnsi="Times New Roman" w:cs="Times New Roman"/>
          <w:noProof/>
          <w:szCs w:val="24"/>
        </w:rPr>
        <w:t xml:space="preserve">Análisis del capital de trabajo y palanca de crecimiento </w:t>
      </w:r>
      <w:r w:rsidRPr="005B5B52">
        <w:rPr>
          <w:rFonts w:ascii="Times New Roman" w:hAnsi="Times New Roman" w:cs="Times New Roman"/>
          <w:noProof/>
          <w:szCs w:val="24"/>
        </w:rPr>
        <w:t xml:space="preserve">PDC. </w:t>
      </w:r>
      <w:r w:rsidR="001A0ACD" w:rsidRPr="005B5B52">
        <w:rPr>
          <w:rFonts w:ascii="Times New Roman" w:hAnsi="Times New Roman" w:cs="Times New Roman"/>
          <w:i/>
          <w:iCs/>
          <w:noProof/>
          <w:szCs w:val="24"/>
        </w:rPr>
        <w:t>En</w:t>
      </w:r>
      <w:r w:rsidRPr="005B5B52">
        <w:rPr>
          <w:rFonts w:ascii="Times New Roman" w:hAnsi="Times New Roman" w:cs="Times New Roman"/>
          <w:i/>
          <w:iCs/>
          <w:noProof/>
          <w:szCs w:val="24"/>
        </w:rPr>
        <w:t xml:space="preserve"> Oscar León Garcia (Ed.)</w:t>
      </w:r>
      <w:r w:rsidRPr="005B5B52">
        <w:rPr>
          <w:rFonts w:ascii="Times New Roman" w:hAnsi="Times New Roman" w:cs="Times New Roman"/>
          <w:noProof/>
          <w:szCs w:val="24"/>
        </w:rPr>
        <w:t xml:space="preserve">, </w:t>
      </w:r>
      <w:r w:rsidRPr="005B5B52">
        <w:rPr>
          <w:rFonts w:ascii="Times New Roman" w:hAnsi="Times New Roman" w:cs="Times New Roman"/>
          <w:i/>
          <w:iCs/>
          <w:noProof/>
          <w:szCs w:val="24"/>
        </w:rPr>
        <w:t>Administración Financiera Fundamentos y Aplicaciones</w:t>
      </w:r>
      <w:r w:rsidRPr="005B5B52">
        <w:rPr>
          <w:rFonts w:ascii="Times New Roman" w:hAnsi="Times New Roman" w:cs="Times New Roman"/>
          <w:noProof/>
          <w:szCs w:val="24"/>
        </w:rPr>
        <w:t xml:space="preserve"> (4th ed., p. 362).</w:t>
      </w:r>
      <w:r w:rsidR="001A0ACD" w:rsidRPr="005B5B52">
        <w:rPr>
          <w:rFonts w:ascii="Times New Roman" w:hAnsi="Times New Roman" w:cs="Times New Roman"/>
          <w:noProof/>
          <w:szCs w:val="24"/>
        </w:rPr>
        <w:t xml:space="preserve"> </w:t>
      </w:r>
      <w:r w:rsidR="004B027F" w:rsidRPr="005B5B52">
        <w:rPr>
          <w:rFonts w:ascii="Times New Roman" w:hAnsi="Times New Roman" w:cs="Times New Roman"/>
          <w:noProof/>
          <w:szCs w:val="24"/>
        </w:rPr>
        <w:t>Obtenido de https://acortar.link/R2l7l5</w:t>
      </w:r>
    </w:p>
    <w:p w14:paraId="446CD2FC" w14:textId="77777777" w:rsidR="00C750B0" w:rsidRPr="005B5B52" w:rsidRDefault="00C750B0" w:rsidP="00A630DC">
      <w:pPr>
        <w:widowControl w:val="0"/>
        <w:autoSpaceDE w:val="0"/>
        <w:autoSpaceDN w:val="0"/>
        <w:adjustRightInd w:val="0"/>
        <w:spacing w:after="0"/>
        <w:ind w:left="480" w:hanging="480"/>
        <w:rPr>
          <w:rFonts w:ascii="Times New Roman" w:hAnsi="Times New Roman" w:cs="Times New Roman"/>
          <w:noProof/>
          <w:szCs w:val="24"/>
        </w:rPr>
      </w:pPr>
    </w:p>
    <w:p w14:paraId="23A389E8" w14:textId="401FD254"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Gastón, M., Suárez, G., Srta, G., Polet, D., Cárdenas, M., Guillermo, G., Gallegos Álvarez, S., Denisse, P., &amp; Miranda, C. (2017). </w:t>
      </w:r>
      <w:r w:rsidR="00461348" w:rsidRPr="005B5B52">
        <w:rPr>
          <w:rFonts w:ascii="Times New Roman" w:hAnsi="Times New Roman" w:cs="Times New Roman"/>
          <w:noProof/>
          <w:szCs w:val="24"/>
        </w:rPr>
        <w:t>La rotación de los inventarios y su incidencia en el flujo de efectivo</w:t>
      </w:r>
      <w:r w:rsidRPr="005B5B52">
        <w:rPr>
          <w:rFonts w:ascii="Times New Roman" w:hAnsi="Times New Roman" w:cs="Times New Roman"/>
          <w:noProof/>
          <w:szCs w:val="24"/>
        </w:rPr>
        <w:t xml:space="preserve">. </w:t>
      </w:r>
      <w:r w:rsidRPr="005B5B52">
        <w:rPr>
          <w:rFonts w:ascii="Times New Roman" w:hAnsi="Times New Roman" w:cs="Times New Roman"/>
          <w:i/>
          <w:iCs/>
          <w:noProof/>
          <w:szCs w:val="24"/>
        </w:rPr>
        <w:t>Revista Observatorio de La Economia Latinoamericana</w:t>
      </w:r>
      <w:r w:rsidRPr="005B5B52">
        <w:rPr>
          <w:rFonts w:ascii="Times New Roman" w:hAnsi="Times New Roman" w:cs="Times New Roman"/>
          <w:noProof/>
          <w:szCs w:val="24"/>
        </w:rPr>
        <w:t xml:space="preserve">, 2, 11–33. </w:t>
      </w:r>
      <w:r w:rsidR="00461348" w:rsidRPr="005B5B52">
        <w:rPr>
          <w:rFonts w:ascii="Times New Roman" w:hAnsi="Times New Roman" w:cs="Times New Roman"/>
          <w:noProof/>
          <w:szCs w:val="24"/>
        </w:rPr>
        <w:t xml:space="preserve">Obtenido de </w:t>
      </w:r>
      <w:r w:rsidR="006E0961" w:rsidRPr="005B5B52">
        <w:rPr>
          <w:rFonts w:ascii="Times New Roman" w:hAnsi="Times New Roman" w:cs="Times New Roman"/>
          <w:noProof/>
          <w:szCs w:val="24"/>
        </w:rPr>
        <w:t>http://www.eumed.net/cursecon/ecolat/ec/2017/inventarios-flujo-efectivo.html</w:t>
      </w:r>
    </w:p>
    <w:p w14:paraId="4934312C" w14:textId="77777777" w:rsidR="00C12AD3" w:rsidRPr="005B5B52" w:rsidRDefault="00C12AD3" w:rsidP="00A630DC">
      <w:pPr>
        <w:widowControl w:val="0"/>
        <w:autoSpaceDE w:val="0"/>
        <w:autoSpaceDN w:val="0"/>
        <w:adjustRightInd w:val="0"/>
        <w:spacing w:after="0"/>
        <w:ind w:left="480" w:hanging="480"/>
        <w:rPr>
          <w:rFonts w:ascii="Times New Roman" w:hAnsi="Times New Roman" w:cs="Times New Roman"/>
          <w:noProof/>
          <w:szCs w:val="24"/>
        </w:rPr>
      </w:pPr>
    </w:p>
    <w:p w14:paraId="3C2BD488" w14:textId="1FD4C898" w:rsidR="0046134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lang w:val="en-US"/>
        </w:rPr>
        <w:t xml:space="preserve">Gitman, L., &amp; Zutter, C. J. (2012). </w:t>
      </w:r>
      <w:r w:rsidR="006E0961" w:rsidRPr="005B5B52">
        <w:rPr>
          <w:rFonts w:ascii="Times New Roman" w:hAnsi="Times New Roman" w:cs="Times New Roman"/>
          <w:i/>
          <w:iCs/>
          <w:noProof/>
          <w:szCs w:val="24"/>
        </w:rPr>
        <w:t>Principios de administracion financiera (12ª ed)</w:t>
      </w:r>
      <w:r w:rsidR="006E0961" w:rsidRPr="005B5B52">
        <w:rPr>
          <w:rFonts w:ascii="Times New Roman" w:hAnsi="Times New Roman" w:cs="Times New Roman"/>
          <w:noProof/>
          <w:szCs w:val="24"/>
        </w:rPr>
        <w:t>.</w:t>
      </w:r>
      <w:r w:rsidR="006E0961" w:rsidRPr="005B5B52">
        <w:rPr>
          <w:color w:val="05103E"/>
          <w:sz w:val="27"/>
          <w:szCs w:val="27"/>
        </w:rPr>
        <w:t xml:space="preserve"> </w:t>
      </w:r>
      <w:r w:rsidR="00461348" w:rsidRPr="005B5B52">
        <w:rPr>
          <w:rFonts w:ascii="Times New Roman" w:hAnsi="Times New Roman" w:cs="Times New Roman"/>
          <w:noProof/>
          <w:szCs w:val="24"/>
        </w:rPr>
        <w:t>Mexico:</w:t>
      </w:r>
    </w:p>
    <w:p w14:paraId="53EE49A5" w14:textId="41202E29" w:rsidR="000162D8" w:rsidRPr="005B5B52" w:rsidRDefault="006E0961"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Pearson, </w:t>
      </w:r>
    </w:p>
    <w:p w14:paraId="127A75B6" w14:textId="77777777" w:rsidR="006E0961" w:rsidRPr="005B5B52" w:rsidRDefault="006E0961" w:rsidP="00A630DC">
      <w:pPr>
        <w:widowControl w:val="0"/>
        <w:autoSpaceDE w:val="0"/>
        <w:autoSpaceDN w:val="0"/>
        <w:adjustRightInd w:val="0"/>
        <w:spacing w:after="0"/>
        <w:ind w:left="480" w:hanging="480"/>
        <w:rPr>
          <w:rFonts w:ascii="Times New Roman" w:hAnsi="Times New Roman" w:cs="Times New Roman"/>
          <w:noProof/>
          <w:szCs w:val="24"/>
        </w:rPr>
      </w:pPr>
    </w:p>
    <w:p w14:paraId="778C19E7" w14:textId="0C079061"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Jaramillo, B. (2020). Paradigma Cualitativo Vs Cuantitativo</w:t>
      </w:r>
      <w:r w:rsidR="00461348" w:rsidRPr="005B5B52">
        <w:rPr>
          <w:rFonts w:ascii="Times New Roman" w:hAnsi="Times New Roman" w:cs="Times New Roman"/>
          <w:noProof/>
          <w:szCs w:val="24"/>
        </w:rPr>
        <w:t>.</w:t>
      </w:r>
      <w:r w:rsidRPr="005B5B52">
        <w:rPr>
          <w:rFonts w:ascii="Times New Roman" w:hAnsi="Times New Roman" w:cs="Times New Roman"/>
          <w:noProof/>
          <w:szCs w:val="24"/>
        </w:rPr>
        <w:t xml:space="preserve"> </w:t>
      </w:r>
      <w:r w:rsidRPr="005B5B52">
        <w:rPr>
          <w:rFonts w:ascii="Times New Roman" w:hAnsi="Times New Roman" w:cs="Times New Roman"/>
          <w:i/>
          <w:iCs/>
          <w:noProof/>
          <w:szCs w:val="24"/>
        </w:rPr>
        <w:t>Researchgate.Net</w:t>
      </w:r>
      <w:r w:rsidRPr="005B5B52">
        <w:rPr>
          <w:rFonts w:ascii="Times New Roman" w:hAnsi="Times New Roman" w:cs="Times New Roman"/>
          <w:noProof/>
          <w:szCs w:val="24"/>
        </w:rPr>
        <w:t>, 0–8.</w:t>
      </w:r>
      <w:r w:rsidR="007F7EBF" w:rsidRPr="005B5B52">
        <w:rPr>
          <w:rFonts w:ascii="Times New Roman" w:hAnsi="Times New Roman" w:cs="Times New Roman"/>
          <w:noProof/>
          <w:szCs w:val="24"/>
        </w:rPr>
        <w:t xml:space="preserve"> Obtenido de</w:t>
      </w:r>
      <w:r w:rsidR="00CA278A" w:rsidRPr="005B5B52">
        <w:rPr>
          <w:rFonts w:ascii="Times New Roman" w:hAnsi="Times New Roman" w:cs="Times New Roman"/>
          <w:noProof/>
          <w:szCs w:val="24"/>
        </w:rPr>
        <w:t xml:space="preserve"> file:///C:/Users/Internet/Downloads/PARADIGMACUALITATIVO-CUANTITATIVO%20(3).pdf</w:t>
      </w:r>
    </w:p>
    <w:p w14:paraId="31791A13" w14:textId="77777777" w:rsidR="00C764A1" w:rsidRPr="005B5B52" w:rsidRDefault="00C764A1" w:rsidP="00A630DC">
      <w:pPr>
        <w:widowControl w:val="0"/>
        <w:autoSpaceDE w:val="0"/>
        <w:autoSpaceDN w:val="0"/>
        <w:adjustRightInd w:val="0"/>
        <w:spacing w:after="0"/>
        <w:ind w:left="480" w:hanging="480"/>
        <w:rPr>
          <w:rFonts w:ascii="Times New Roman" w:hAnsi="Times New Roman" w:cs="Times New Roman"/>
          <w:noProof/>
          <w:szCs w:val="24"/>
        </w:rPr>
      </w:pPr>
    </w:p>
    <w:p w14:paraId="54CAA063" w14:textId="1C70511F"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Jimenez, F., Ram</w:t>
      </w:r>
      <w:r w:rsidR="00A95D46" w:rsidRPr="005B5B52">
        <w:rPr>
          <w:rFonts w:ascii="Times New Roman" w:hAnsi="Times New Roman" w:cs="Times New Roman"/>
          <w:noProof/>
          <w:szCs w:val="24"/>
        </w:rPr>
        <w:t>í</w:t>
      </w:r>
      <w:r w:rsidRPr="005B5B52">
        <w:rPr>
          <w:rFonts w:ascii="Times New Roman" w:hAnsi="Times New Roman" w:cs="Times New Roman"/>
          <w:noProof/>
          <w:szCs w:val="24"/>
        </w:rPr>
        <w:t xml:space="preserve">rez, C., &amp; Leyva, L. (2019). La administración del capital de trabajo en una empresa de materiales de la construcción. </w:t>
      </w:r>
      <w:r w:rsidRPr="005B5B52">
        <w:rPr>
          <w:rFonts w:ascii="Times New Roman" w:hAnsi="Times New Roman" w:cs="Times New Roman"/>
          <w:i/>
          <w:iCs/>
          <w:noProof/>
          <w:szCs w:val="24"/>
        </w:rPr>
        <w:t>Tlatemoani</w:t>
      </w:r>
      <w:r w:rsidRPr="005B5B52">
        <w:rPr>
          <w:rFonts w:ascii="Times New Roman" w:hAnsi="Times New Roman" w:cs="Times New Roman"/>
          <w:noProof/>
          <w:szCs w:val="24"/>
        </w:rPr>
        <w:t xml:space="preserve">, 30(30), 151. </w:t>
      </w:r>
      <w:r w:rsidR="0098629A" w:rsidRPr="005B5B52">
        <w:rPr>
          <w:rFonts w:ascii="Times New Roman" w:hAnsi="Times New Roman" w:cs="Times New Roman"/>
          <w:noProof/>
          <w:szCs w:val="24"/>
        </w:rPr>
        <w:t xml:space="preserve">Obtenido de </w:t>
      </w:r>
      <w:r w:rsidRPr="005B5B52">
        <w:rPr>
          <w:rFonts w:ascii="Times New Roman" w:hAnsi="Times New Roman" w:cs="Times New Roman"/>
          <w:noProof/>
          <w:szCs w:val="24"/>
        </w:rPr>
        <w:t>https://dialnet.unirioja.es/servlet/articulo?codigo=7340394</w:t>
      </w:r>
    </w:p>
    <w:p w14:paraId="7C77DE56" w14:textId="294E8B3E"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lastRenderedPageBreak/>
        <w:t>Jiménez</w:t>
      </w:r>
      <w:r w:rsidR="00DF2D52">
        <w:rPr>
          <w:rFonts w:ascii="Times New Roman" w:hAnsi="Times New Roman" w:cs="Times New Roman"/>
          <w:noProof/>
          <w:szCs w:val="24"/>
        </w:rPr>
        <w:t>-</w:t>
      </w:r>
      <w:r w:rsidRPr="005B5B52">
        <w:rPr>
          <w:rFonts w:ascii="Times New Roman" w:hAnsi="Times New Roman" w:cs="Times New Roman"/>
          <w:noProof/>
          <w:szCs w:val="24"/>
        </w:rPr>
        <w:t>Sánchez, J. I., &amp; Rojas</w:t>
      </w:r>
      <w:r w:rsidR="00DF2D52">
        <w:rPr>
          <w:rFonts w:ascii="Times New Roman" w:hAnsi="Times New Roman" w:cs="Times New Roman"/>
          <w:noProof/>
          <w:szCs w:val="24"/>
        </w:rPr>
        <w:t>-</w:t>
      </w:r>
      <w:r w:rsidRPr="005B5B52">
        <w:rPr>
          <w:rFonts w:ascii="Times New Roman" w:hAnsi="Times New Roman" w:cs="Times New Roman"/>
          <w:noProof/>
          <w:szCs w:val="24"/>
        </w:rPr>
        <w:t xml:space="preserve">Restrepo, F. S. (2013). </w:t>
      </w:r>
      <w:r w:rsidRPr="005B5B52">
        <w:rPr>
          <w:rFonts w:ascii="Times New Roman" w:hAnsi="Times New Roman" w:cs="Times New Roman"/>
          <w:noProof/>
          <w:szCs w:val="24"/>
          <w:lang w:val="en-US"/>
        </w:rPr>
        <w:t xml:space="preserve">The importance of cash cycle and calculation of working capital management in smes. </w:t>
      </w:r>
      <w:r w:rsidRPr="005B5B52">
        <w:rPr>
          <w:rFonts w:ascii="Times New Roman" w:hAnsi="Times New Roman" w:cs="Times New Roman"/>
          <w:i/>
          <w:iCs/>
          <w:noProof/>
          <w:szCs w:val="24"/>
        </w:rPr>
        <w:t xml:space="preserve">Clío América </w:t>
      </w:r>
      <w:r w:rsidRPr="005B5B52">
        <w:rPr>
          <w:rFonts w:ascii="Times New Roman" w:hAnsi="Times New Roman" w:cs="Times New Roman"/>
          <w:noProof/>
          <w:szCs w:val="24"/>
        </w:rPr>
        <w:t xml:space="preserve">, </w:t>
      </w:r>
      <w:r w:rsidRPr="00DF2D52">
        <w:rPr>
          <w:rFonts w:ascii="Times New Roman" w:hAnsi="Times New Roman" w:cs="Times New Roman"/>
          <w:noProof/>
          <w:szCs w:val="24"/>
        </w:rPr>
        <w:t>7</w:t>
      </w:r>
      <w:r w:rsidRPr="005B5B52">
        <w:rPr>
          <w:rFonts w:ascii="Times New Roman" w:hAnsi="Times New Roman" w:cs="Times New Roman"/>
          <w:noProof/>
          <w:szCs w:val="24"/>
        </w:rPr>
        <w:t xml:space="preserve">(13), 48–63. </w:t>
      </w:r>
      <w:r w:rsidR="001A02FA" w:rsidRPr="005B5B52">
        <w:rPr>
          <w:rFonts w:ascii="Times New Roman" w:hAnsi="Times New Roman" w:cs="Times New Roman"/>
          <w:noProof/>
          <w:szCs w:val="24"/>
        </w:rPr>
        <w:t xml:space="preserve">Obtenido de </w:t>
      </w:r>
      <w:r w:rsidRPr="005B5B52">
        <w:rPr>
          <w:rFonts w:ascii="Times New Roman" w:hAnsi="Times New Roman" w:cs="Times New Roman"/>
          <w:noProof/>
          <w:szCs w:val="24"/>
        </w:rPr>
        <w:t>http://revistas.unimagdalena.edu.co/index.php/clioamerica/article/view/436</w:t>
      </w:r>
    </w:p>
    <w:p w14:paraId="666B24D8" w14:textId="77777777" w:rsidR="001A02FA" w:rsidRPr="005B5B52" w:rsidRDefault="001A02FA" w:rsidP="00A630DC">
      <w:pPr>
        <w:widowControl w:val="0"/>
        <w:autoSpaceDE w:val="0"/>
        <w:autoSpaceDN w:val="0"/>
        <w:adjustRightInd w:val="0"/>
        <w:spacing w:after="0"/>
        <w:ind w:left="480" w:hanging="480"/>
        <w:rPr>
          <w:rFonts w:ascii="Times New Roman" w:hAnsi="Times New Roman" w:cs="Times New Roman"/>
          <w:noProof/>
          <w:szCs w:val="24"/>
        </w:rPr>
      </w:pPr>
    </w:p>
    <w:p w14:paraId="1D998A6C" w14:textId="2E2A4933"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Lascano, M. D. (2015). </w:t>
      </w:r>
      <w:r w:rsidRPr="00DF2D52">
        <w:rPr>
          <w:rFonts w:ascii="Times New Roman" w:hAnsi="Times New Roman" w:cs="Times New Roman"/>
          <w:i/>
          <w:iCs/>
          <w:noProof/>
          <w:szCs w:val="24"/>
        </w:rPr>
        <w:t>Aplicación de herramientas para la mejora en la toma de decisiones y gestión financiera del capital de trabajo en una empresa constructora de la ciudad de</w:t>
      </w:r>
      <w:r w:rsidR="00217DA3" w:rsidRPr="00DF2D52">
        <w:rPr>
          <w:rFonts w:ascii="Times New Roman" w:hAnsi="Times New Roman" w:cs="Times New Roman"/>
          <w:i/>
          <w:iCs/>
          <w:noProof/>
          <w:szCs w:val="24"/>
        </w:rPr>
        <w:t xml:space="preserve"> la ciudad de Cordoba</w:t>
      </w:r>
      <w:r w:rsidR="00217DA3" w:rsidRPr="005B5B52">
        <w:rPr>
          <w:rFonts w:ascii="Times New Roman" w:hAnsi="Times New Roman" w:cs="Times New Roman"/>
          <w:noProof/>
          <w:szCs w:val="24"/>
        </w:rPr>
        <w:t xml:space="preserve">. Obtenido de </w:t>
      </w:r>
      <w:r w:rsidRPr="005B5B52">
        <w:rPr>
          <w:rFonts w:ascii="Times New Roman" w:hAnsi="Times New Roman" w:cs="Times New Roman"/>
          <w:noProof/>
          <w:szCs w:val="24"/>
        </w:rPr>
        <w:t xml:space="preserve"> http://hdl.handle.net/11086/2711</w:t>
      </w:r>
    </w:p>
    <w:p w14:paraId="18FF0212" w14:textId="77777777" w:rsidR="00217DA3" w:rsidRPr="005B5B52" w:rsidRDefault="00217DA3" w:rsidP="00A630DC">
      <w:pPr>
        <w:widowControl w:val="0"/>
        <w:autoSpaceDE w:val="0"/>
        <w:autoSpaceDN w:val="0"/>
        <w:adjustRightInd w:val="0"/>
        <w:spacing w:after="0"/>
        <w:ind w:left="480" w:hanging="480"/>
        <w:rPr>
          <w:rFonts w:ascii="Times New Roman" w:hAnsi="Times New Roman" w:cs="Times New Roman"/>
          <w:noProof/>
          <w:szCs w:val="24"/>
        </w:rPr>
      </w:pPr>
    </w:p>
    <w:p w14:paraId="26600A68" w14:textId="454082B2" w:rsidR="000162D8" w:rsidRPr="005B5B52" w:rsidRDefault="00774DAB" w:rsidP="00A630DC">
      <w:pPr>
        <w:widowControl w:val="0"/>
        <w:autoSpaceDE w:val="0"/>
        <w:autoSpaceDN w:val="0"/>
        <w:adjustRightInd w:val="0"/>
        <w:spacing w:after="0"/>
        <w:ind w:left="480" w:hanging="480"/>
        <w:rPr>
          <w:rFonts w:ascii="Times New Roman" w:hAnsi="Times New Roman" w:cs="Times New Roman"/>
          <w:i/>
          <w:iCs/>
          <w:noProof/>
          <w:szCs w:val="24"/>
        </w:rPr>
      </w:pPr>
      <w:r w:rsidRPr="005B5B52">
        <w:rPr>
          <w:rFonts w:ascii="Times New Roman" w:hAnsi="Times New Roman" w:cs="Times New Roman"/>
          <w:noProof/>
          <w:szCs w:val="24"/>
        </w:rPr>
        <w:t>Lindemann, P. H. (201</w:t>
      </w:r>
      <w:r w:rsidR="000162D8" w:rsidRPr="005B5B52">
        <w:rPr>
          <w:rFonts w:ascii="Times New Roman" w:hAnsi="Times New Roman" w:cs="Times New Roman"/>
          <w:noProof/>
          <w:szCs w:val="24"/>
        </w:rPr>
        <w:t xml:space="preserve">6). </w:t>
      </w:r>
      <w:r w:rsidR="00E16221" w:rsidRPr="005B5B52">
        <w:rPr>
          <w:rFonts w:ascii="Times New Roman" w:hAnsi="Times New Roman" w:cs="Times New Roman"/>
          <w:noProof/>
          <w:szCs w:val="24"/>
        </w:rPr>
        <w:t>Revisión documental, una herramienta para el mejoramiento de las competencias de lectura y escritura en estudiantes universitarios. (2016).</w:t>
      </w:r>
      <w:r w:rsidR="00E16221" w:rsidRPr="005B5B52">
        <w:rPr>
          <w:rFonts w:ascii="Times New Roman" w:hAnsi="Times New Roman" w:cs="Times New Roman"/>
          <w:i/>
          <w:iCs/>
          <w:noProof/>
          <w:szCs w:val="24"/>
        </w:rPr>
        <w:t xml:space="preserve"> </w:t>
      </w:r>
      <w:r w:rsidR="00754324" w:rsidRPr="005B5B52">
        <w:rPr>
          <w:rFonts w:ascii="Times New Roman" w:hAnsi="Times New Roman" w:cs="Times New Roman"/>
          <w:i/>
          <w:iCs/>
          <w:noProof/>
          <w:szCs w:val="24"/>
        </w:rPr>
        <w:t>Chakiñan, Revista De Ciencias Sociales Y Humanidades</w:t>
      </w:r>
      <w:r w:rsidR="00E16221" w:rsidRPr="005B5B52">
        <w:rPr>
          <w:rFonts w:ascii="Times New Roman" w:hAnsi="Times New Roman" w:cs="Times New Roman"/>
          <w:i/>
          <w:iCs/>
          <w:noProof/>
          <w:szCs w:val="24"/>
        </w:rPr>
        <w:t>,</w:t>
      </w:r>
      <w:r w:rsidR="00E16221" w:rsidRPr="00CB517C">
        <w:rPr>
          <w:rFonts w:ascii="Times New Roman" w:hAnsi="Times New Roman" w:cs="Times New Roman"/>
          <w:noProof/>
          <w:szCs w:val="24"/>
        </w:rPr>
        <w:t xml:space="preserve"> 1, 4</w:t>
      </w:r>
      <w:r w:rsidR="00754324" w:rsidRPr="00CB517C">
        <w:rPr>
          <w:rFonts w:ascii="Times New Roman" w:hAnsi="Times New Roman" w:cs="Times New Roman"/>
          <w:noProof/>
          <w:szCs w:val="24"/>
        </w:rPr>
        <w:t xml:space="preserve">6–56.  </w:t>
      </w:r>
      <w:r w:rsidR="00E23E02" w:rsidRPr="00CB517C">
        <w:rPr>
          <w:rFonts w:ascii="Times New Roman" w:hAnsi="Times New Roman" w:cs="Times New Roman"/>
          <w:noProof/>
          <w:szCs w:val="24"/>
        </w:rPr>
        <w:t xml:space="preserve">doi: </w:t>
      </w:r>
      <w:r w:rsidR="00E16221" w:rsidRPr="005B5B52">
        <w:rPr>
          <w:rFonts w:ascii="Times New Roman" w:hAnsi="Times New Roman" w:cs="Times New Roman"/>
          <w:noProof/>
          <w:szCs w:val="24"/>
        </w:rPr>
        <w:t>https://doi.org/10.37135/chk.002.01.04</w:t>
      </w:r>
    </w:p>
    <w:p w14:paraId="525AD553" w14:textId="77777777" w:rsidR="00E16221" w:rsidRPr="005B5B52" w:rsidRDefault="00E16221" w:rsidP="00A630DC">
      <w:pPr>
        <w:widowControl w:val="0"/>
        <w:autoSpaceDE w:val="0"/>
        <w:autoSpaceDN w:val="0"/>
        <w:adjustRightInd w:val="0"/>
        <w:spacing w:after="0"/>
        <w:ind w:left="480" w:hanging="480"/>
        <w:rPr>
          <w:rFonts w:ascii="Times New Roman" w:hAnsi="Times New Roman" w:cs="Times New Roman"/>
          <w:noProof/>
          <w:szCs w:val="24"/>
        </w:rPr>
      </w:pPr>
    </w:p>
    <w:p w14:paraId="4D7C01F6" w14:textId="0BD41DE6"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lang w:val="en-US"/>
        </w:rPr>
      </w:pPr>
      <w:r w:rsidRPr="005B5B52">
        <w:rPr>
          <w:rFonts w:ascii="Times New Roman" w:hAnsi="Times New Roman" w:cs="Times New Roman"/>
          <w:noProof/>
          <w:szCs w:val="24"/>
        </w:rPr>
        <w:t xml:space="preserve">Mongrut, S., O’Shee, D. F., Zavaleta, C. C., &amp; Zavaleta, J. C. (2014). </w:t>
      </w:r>
      <w:r w:rsidRPr="005B5B52">
        <w:rPr>
          <w:rFonts w:ascii="Times New Roman" w:hAnsi="Times New Roman" w:cs="Times New Roman"/>
          <w:noProof/>
          <w:szCs w:val="24"/>
          <w:lang w:val="en-US"/>
        </w:rPr>
        <w:t xml:space="preserve">Determinants of working capital management in latin american companies. </w:t>
      </w:r>
      <w:r w:rsidRPr="005B5B52">
        <w:rPr>
          <w:rFonts w:ascii="Times New Roman" w:hAnsi="Times New Roman" w:cs="Times New Roman"/>
          <w:i/>
          <w:iCs/>
          <w:noProof/>
          <w:szCs w:val="24"/>
          <w:lang w:val="en-US"/>
        </w:rPr>
        <w:t>Innovar</w:t>
      </w:r>
      <w:r w:rsidRPr="005B5B52">
        <w:rPr>
          <w:rFonts w:ascii="Times New Roman" w:hAnsi="Times New Roman" w:cs="Times New Roman"/>
          <w:noProof/>
          <w:szCs w:val="24"/>
          <w:lang w:val="en-US"/>
        </w:rPr>
        <w:t xml:space="preserve">, </w:t>
      </w:r>
      <w:r w:rsidRPr="00CB517C">
        <w:rPr>
          <w:rFonts w:ascii="Times New Roman" w:hAnsi="Times New Roman" w:cs="Times New Roman"/>
          <w:noProof/>
          <w:szCs w:val="24"/>
          <w:lang w:val="en-US"/>
        </w:rPr>
        <w:t>24</w:t>
      </w:r>
      <w:r w:rsidRPr="005B5B52">
        <w:rPr>
          <w:rFonts w:ascii="Times New Roman" w:hAnsi="Times New Roman" w:cs="Times New Roman"/>
          <w:noProof/>
          <w:szCs w:val="24"/>
          <w:lang w:val="en-US"/>
        </w:rPr>
        <w:t>(51), 5–18.</w:t>
      </w:r>
      <w:r w:rsidR="0010354E" w:rsidRPr="005B5B52">
        <w:rPr>
          <w:rFonts w:ascii="Times New Roman" w:hAnsi="Times New Roman" w:cs="Times New Roman"/>
          <w:noProof/>
          <w:szCs w:val="24"/>
          <w:lang w:val="en-US"/>
        </w:rPr>
        <w:t xml:space="preserve"> </w:t>
      </w:r>
      <w:r w:rsidR="00D62E37" w:rsidRPr="00FE63A2">
        <w:rPr>
          <w:rFonts w:ascii="Times New Roman" w:hAnsi="Times New Roman" w:cs="Times New Roman"/>
          <w:noProof/>
          <w:szCs w:val="24"/>
          <w:lang w:val="en-US"/>
        </w:rPr>
        <w:t xml:space="preserve">doi: </w:t>
      </w:r>
      <w:r w:rsidRPr="005B5B52">
        <w:rPr>
          <w:rFonts w:ascii="Times New Roman" w:hAnsi="Times New Roman" w:cs="Times New Roman"/>
          <w:noProof/>
          <w:szCs w:val="24"/>
          <w:lang w:val="en-US"/>
        </w:rPr>
        <w:t>https://doi.org/10.15446/innovar.v24n51.41235</w:t>
      </w:r>
    </w:p>
    <w:p w14:paraId="68752689" w14:textId="77777777" w:rsidR="0010354E" w:rsidRPr="005B5B52" w:rsidRDefault="0010354E" w:rsidP="00A630DC">
      <w:pPr>
        <w:widowControl w:val="0"/>
        <w:autoSpaceDE w:val="0"/>
        <w:autoSpaceDN w:val="0"/>
        <w:adjustRightInd w:val="0"/>
        <w:spacing w:after="0"/>
        <w:ind w:left="480" w:hanging="480"/>
        <w:rPr>
          <w:rFonts w:ascii="Times New Roman" w:hAnsi="Times New Roman" w:cs="Times New Roman"/>
          <w:noProof/>
          <w:szCs w:val="24"/>
          <w:lang w:val="en-US"/>
        </w:rPr>
      </w:pPr>
    </w:p>
    <w:p w14:paraId="29640D77" w14:textId="7A035B3F"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Otmara, N. S., Marjorie, C. G., &amp; Mayra, L. M. (2017). Perspectivas de la Administración</w:t>
      </w:r>
      <w:r w:rsidR="00CB517C">
        <w:rPr>
          <w:rFonts w:ascii="Times New Roman" w:hAnsi="Times New Roman" w:cs="Times New Roman"/>
          <w:noProof/>
          <w:szCs w:val="24"/>
        </w:rPr>
        <w:t xml:space="preserve"> </w:t>
      </w:r>
      <w:r w:rsidRPr="005B5B52">
        <w:rPr>
          <w:rFonts w:ascii="Times New Roman" w:hAnsi="Times New Roman" w:cs="Times New Roman"/>
          <w:noProof/>
          <w:szCs w:val="24"/>
        </w:rPr>
        <w:t xml:space="preserve">Financiera del Capital de Trabajo como instrumento necesario en la evolución de las Mipymes. </w:t>
      </w:r>
      <w:r w:rsidRPr="005B5B52">
        <w:rPr>
          <w:rFonts w:ascii="Times New Roman" w:hAnsi="Times New Roman" w:cs="Times New Roman"/>
          <w:i/>
          <w:iCs/>
          <w:noProof/>
          <w:szCs w:val="24"/>
        </w:rPr>
        <w:t xml:space="preserve">Revista </w:t>
      </w:r>
      <w:r w:rsidR="00E611BC" w:rsidRPr="005B5B52">
        <w:rPr>
          <w:rFonts w:ascii="Times New Roman" w:hAnsi="Times New Roman" w:cs="Times New Roman"/>
          <w:i/>
          <w:iCs/>
          <w:noProof/>
          <w:szCs w:val="24"/>
        </w:rPr>
        <w:t>Espacios</w:t>
      </w:r>
      <w:r w:rsidRPr="005B5B52">
        <w:rPr>
          <w:rFonts w:ascii="Times New Roman" w:hAnsi="Times New Roman" w:cs="Times New Roman"/>
          <w:noProof/>
          <w:szCs w:val="24"/>
        </w:rPr>
        <w:t xml:space="preserve">, </w:t>
      </w:r>
      <w:r w:rsidRPr="00CB517C">
        <w:rPr>
          <w:rFonts w:ascii="Times New Roman" w:hAnsi="Times New Roman" w:cs="Times New Roman"/>
          <w:noProof/>
          <w:szCs w:val="24"/>
        </w:rPr>
        <w:t xml:space="preserve">10. </w:t>
      </w:r>
      <w:r w:rsidR="005F2E9A" w:rsidRPr="00CB517C">
        <w:rPr>
          <w:rFonts w:ascii="Times New Roman" w:hAnsi="Times New Roman" w:cs="Times New Roman"/>
          <w:noProof/>
          <w:szCs w:val="24"/>
        </w:rPr>
        <w:t xml:space="preserve">Obtenido de </w:t>
      </w:r>
      <w:r w:rsidRPr="005B5B52">
        <w:rPr>
          <w:rFonts w:ascii="Times New Roman" w:hAnsi="Times New Roman" w:cs="Times New Roman"/>
          <w:noProof/>
          <w:szCs w:val="24"/>
        </w:rPr>
        <w:t>https://www.revistaespacios.com/a18v39n42/a18v39n42p14.pdf</w:t>
      </w:r>
    </w:p>
    <w:p w14:paraId="715446FC" w14:textId="77777777" w:rsidR="0010354E" w:rsidRPr="005B5B52" w:rsidRDefault="0010354E" w:rsidP="00A630DC">
      <w:pPr>
        <w:widowControl w:val="0"/>
        <w:autoSpaceDE w:val="0"/>
        <w:autoSpaceDN w:val="0"/>
        <w:adjustRightInd w:val="0"/>
        <w:spacing w:after="0"/>
        <w:ind w:left="480" w:hanging="480"/>
        <w:rPr>
          <w:rFonts w:ascii="Times New Roman" w:hAnsi="Times New Roman" w:cs="Times New Roman"/>
          <w:noProof/>
          <w:szCs w:val="24"/>
        </w:rPr>
      </w:pPr>
    </w:p>
    <w:p w14:paraId="7E655290" w14:textId="1E919FD6"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Palomeque., J., &amp; Lalangui., J. (2016). </w:t>
      </w:r>
      <w:r w:rsidR="001421D4" w:rsidRPr="005B5B52">
        <w:rPr>
          <w:rFonts w:ascii="Times New Roman" w:hAnsi="Times New Roman" w:cs="Times New Roman"/>
          <w:noProof/>
          <w:szCs w:val="24"/>
        </w:rPr>
        <w:t>La gestión efectiva del capital de trabajo en las empresas</w:t>
      </w:r>
      <w:r w:rsidRPr="005B5B52">
        <w:rPr>
          <w:rFonts w:ascii="Times New Roman" w:hAnsi="Times New Roman" w:cs="Times New Roman"/>
          <w:noProof/>
          <w:szCs w:val="24"/>
        </w:rPr>
        <w:t xml:space="preserve">. </w:t>
      </w:r>
      <w:r w:rsidRPr="005B5B52">
        <w:rPr>
          <w:rFonts w:ascii="Times New Roman" w:hAnsi="Times New Roman" w:cs="Times New Roman"/>
          <w:i/>
          <w:iCs/>
          <w:noProof/>
          <w:szCs w:val="24"/>
        </w:rPr>
        <w:t>Revista Científica Universidad y Sociedad</w:t>
      </w:r>
      <w:r w:rsidRPr="005B5B52">
        <w:rPr>
          <w:rFonts w:ascii="Times New Roman" w:hAnsi="Times New Roman" w:cs="Times New Roman"/>
          <w:noProof/>
          <w:szCs w:val="24"/>
        </w:rPr>
        <w:t xml:space="preserve">, </w:t>
      </w:r>
      <w:r w:rsidRPr="00CB517C">
        <w:rPr>
          <w:rFonts w:ascii="Times New Roman" w:hAnsi="Times New Roman" w:cs="Times New Roman"/>
          <w:noProof/>
          <w:szCs w:val="24"/>
        </w:rPr>
        <w:t>8, 150.</w:t>
      </w:r>
      <w:r w:rsidR="00E463AA" w:rsidRPr="00CB517C">
        <w:rPr>
          <w:rFonts w:ascii="Times New Roman" w:hAnsi="Times New Roman" w:cs="Times New Roman"/>
          <w:noProof/>
          <w:szCs w:val="24"/>
        </w:rPr>
        <w:t xml:space="preserve"> Obtenido de </w:t>
      </w:r>
      <w:r w:rsidR="00E463AA" w:rsidRPr="005B5B52">
        <w:rPr>
          <w:rFonts w:ascii="Times New Roman" w:hAnsi="Times New Roman" w:cs="Times New Roman"/>
          <w:noProof/>
          <w:szCs w:val="24"/>
        </w:rPr>
        <w:t>http://scielo.sld.cu/pdf/rus/v8n4/rus06416.pdf</w:t>
      </w:r>
    </w:p>
    <w:p w14:paraId="3A66F27D" w14:textId="77777777" w:rsidR="00267026" w:rsidRPr="005B5B52" w:rsidRDefault="00267026" w:rsidP="00A630DC">
      <w:pPr>
        <w:widowControl w:val="0"/>
        <w:autoSpaceDE w:val="0"/>
        <w:autoSpaceDN w:val="0"/>
        <w:adjustRightInd w:val="0"/>
        <w:spacing w:after="0"/>
        <w:ind w:left="480" w:hanging="480"/>
        <w:rPr>
          <w:rFonts w:ascii="Times New Roman" w:hAnsi="Times New Roman" w:cs="Times New Roman"/>
          <w:noProof/>
          <w:szCs w:val="24"/>
        </w:rPr>
      </w:pPr>
    </w:p>
    <w:p w14:paraId="101D5155" w14:textId="71200CB0"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lang w:val="en-US"/>
        </w:rPr>
      </w:pPr>
      <w:r w:rsidRPr="005B5B52">
        <w:rPr>
          <w:rFonts w:ascii="Times New Roman" w:hAnsi="Times New Roman" w:cs="Times New Roman"/>
          <w:noProof/>
          <w:szCs w:val="24"/>
        </w:rPr>
        <w:t xml:space="preserve">Pio, V. M., Poblete, E. G., Pezzuto, P. R., &amp; Wahrlich, R. (2016). Análisis costo-beneficio de tres pesquerías de enmalle en Santa Catarina, Brasil: Contribuyendo a las decisiones de manejo pesquero. </w:t>
      </w:r>
      <w:r w:rsidRPr="005B5B52">
        <w:rPr>
          <w:rFonts w:ascii="Times New Roman" w:hAnsi="Times New Roman" w:cs="Times New Roman"/>
          <w:i/>
          <w:iCs/>
          <w:noProof/>
          <w:szCs w:val="24"/>
          <w:lang w:val="en-US"/>
        </w:rPr>
        <w:t>Latin American Journal of Aquatic Research</w:t>
      </w:r>
      <w:r w:rsidRPr="005B5B52">
        <w:rPr>
          <w:rFonts w:ascii="Times New Roman" w:hAnsi="Times New Roman" w:cs="Times New Roman"/>
          <w:noProof/>
          <w:szCs w:val="24"/>
          <w:lang w:val="en-US"/>
        </w:rPr>
        <w:t xml:space="preserve">, </w:t>
      </w:r>
      <w:r w:rsidRPr="00CB517C">
        <w:rPr>
          <w:rFonts w:ascii="Times New Roman" w:hAnsi="Times New Roman" w:cs="Times New Roman"/>
          <w:noProof/>
          <w:szCs w:val="24"/>
          <w:lang w:val="en-US"/>
        </w:rPr>
        <w:t>44(</w:t>
      </w:r>
      <w:r w:rsidRPr="005B5B52">
        <w:rPr>
          <w:rFonts w:ascii="Times New Roman" w:hAnsi="Times New Roman" w:cs="Times New Roman"/>
          <w:noProof/>
          <w:szCs w:val="24"/>
          <w:lang w:val="en-US"/>
        </w:rPr>
        <w:t xml:space="preserve">5), 1096–1115. </w:t>
      </w:r>
      <w:r w:rsidR="00187088" w:rsidRPr="00FE63A2">
        <w:rPr>
          <w:rFonts w:ascii="Times New Roman" w:hAnsi="Times New Roman" w:cs="Times New Roman"/>
          <w:noProof/>
          <w:szCs w:val="24"/>
          <w:lang w:val="en-US"/>
        </w:rPr>
        <w:t xml:space="preserve">doi: </w:t>
      </w:r>
      <w:r w:rsidRPr="005B5B52">
        <w:rPr>
          <w:rFonts w:ascii="Times New Roman" w:hAnsi="Times New Roman" w:cs="Times New Roman"/>
          <w:noProof/>
          <w:szCs w:val="24"/>
          <w:lang w:val="en-US"/>
        </w:rPr>
        <w:t>https://doi.org/10.3856/vol44-issue5-fulltext-19</w:t>
      </w:r>
    </w:p>
    <w:p w14:paraId="1755B7A1" w14:textId="77777777" w:rsidR="00827CB2" w:rsidRPr="005B5B52" w:rsidRDefault="00827CB2" w:rsidP="00A630DC">
      <w:pPr>
        <w:widowControl w:val="0"/>
        <w:autoSpaceDE w:val="0"/>
        <w:autoSpaceDN w:val="0"/>
        <w:adjustRightInd w:val="0"/>
        <w:spacing w:after="0"/>
        <w:ind w:left="480" w:hanging="480"/>
        <w:rPr>
          <w:rFonts w:ascii="Times New Roman" w:hAnsi="Times New Roman" w:cs="Times New Roman"/>
          <w:noProof/>
          <w:szCs w:val="24"/>
          <w:lang w:val="en-US"/>
        </w:rPr>
      </w:pPr>
    </w:p>
    <w:p w14:paraId="4FC5D676" w14:textId="45828B26"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 xml:space="preserve">Red+. (2023). </w:t>
      </w:r>
      <w:r w:rsidRPr="005B5B52">
        <w:rPr>
          <w:rFonts w:ascii="Times New Roman" w:hAnsi="Times New Roman" w:cs="Times New Roman"/>
          <w:i/>
          <w:iCs/>
          <w:noProof/>
          <w:szCs w:val="24"/>
        </w:rPr>
        <w:t>Crear empresa en Colombia, una misión casi imposible: ¿Cuáles son las verdaderas razones?</w:t>
      </w:r>
      <w:r w:rsidR="000D112C" w:rsidRPr="005B5B52">
        <w:rPr>
          <w:rFonts w:ascii="Times New Roman" w:hAnsi="Times New Roman" w:cs="Times New Roman"/>
          <w:noProof/>
          <w:szCs w:val="24"/>
        </w:rPr>
        <w:t xml:space="preserve">. Obtenido de </w:t>
      </w:r>
      <w:r w:rsidRPr="005B5B52">
        <w:rPr>
          <w:rFonts w:ascii="Times New Roman" w:hAnsi="Times New Roman" w:cs="Times New Roman"/>
          <w:noProof/>
          <w:szCs w:val="24"/>
        </w:rPr>
        <w:t>file:///C:/Users/Internet/Downloads/Crear empresa en Colombia, una misión casi imposible_ ¿Cuáles son las verdaderas razones_ _ Red+ Noticias Economía.pdf</w:t>
      </w:r>
    </w:p>
    <w:p w14:paraId="4E726571" w14:textId="77777777" w:rsidR="00827CB2" w:rsidRPr="005B5B52" w:rsidRDefault="00827CB2" w:rsidP="00A630DC">
      <w:pPr>
        <w:widowControl w:val="0"/>
        <w:autoSpaceDE w:val="0"/>
        <w:autoSpaceDN w:val="0"/>
        <w:adjustRightInd w:val="0"/>
        <w:spacing w:after="0"/>
        <w:ind w:left="480" w:hanging="480"/>
        <w:rPr>
          <w:rFonts w:ascii="Times New Roman" w:hAnsi="Times New Roman" w:cs="Times New Roman"/>
          <w:noProof/>
          <w:szCs w:val="24"/>
        </w:rPr>
      </w:pPr>
    </w:p>
    <w:p w14:paraId="73C149A0" w14:textId="242C01CE"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lang w:val="en-US"/>
        </w:rPr>
        <w:t xml:space="preserve">Ross, S. A., Westerfield, R. W., &amp; Jaffe, J. F. (2012). </w:t>
      </w:r>
      <w:r w:rsidRPr="005B5B52">
        <w:rPr>
          <w:rFonts w:ascii="Times New Roman" w:hAnsi="Times New Roman" w:cs="Times New Roman"/>
          <w:i/>
          <w:iCs/>
          <w:noProof/>
          <w:szCs w:val="24"/>
        </w:rPr>
        <w:t>Finanzas corporativas</w:t>
      </w:r>
      <w:r w:rsidRPr="005B5B52">
        <w:rPr>
          <w:rFonts w:ascii="Times New Roman" w:hAnsi="Times New Roman" w:cs="Times New Roman"/>
          <w:noProof/>
          <w:szCs w:val="24"/>
        </w:rPr>
        <w:t>.</w:t>
      </w:r>
      <w:r w:rsidR="00362A2D" w:rsidRPr="005B5B52">
        <w:rPr>
          <w:rFonts w:cs="Arial"/>
          <w:color w:val="37393C"/>
          <w:shd w:val="clear" w:color="auto" w:fill="FFFFFF"/>
        </w:rPr>
        <w:t xml:space="preserve"> </w:t>
      </w:r>
      <w:r w:rsidR="00CB517C">
        <w:rPr>
          <w:rFonts w:ascii="Times New Roman" w:hAnsi="Times New Roman" w:cs="Times New Roman"/>
          <w:noProof/>
          <w:szCs w:val="24"/>
        </w:rPr>
        <w:t>España: M</w:t>
      </w:r>
      <w:r w:rsidR="00362A2D" w:rsidRPr="005B5B52">
        <w:rPr>
          <w:rFonts w:ascii="Times New Roman" w:hAnsi="Times New Roman" w:cs="Times New Roman"/>
          <w:noProof/>
          <w:szCs w:val="24"/>
        </w:rPr>
        <w:t>cGraw-Hill Interamericana de España S.L.</w:t>
      </w:r>
    </w:p>
    <w:p w14:paraId="3D7163DD" w14:textId="77777777" w:rsidR="00A12C40" w:rsidRPr="005B5B52" w:rsidRDefault="00A12C40" w:rsidP="00A630DC">
      <w:pPr>
        <w:widowControl w:val="0"/>
        <w:autoSpaceDE w:val="0"/>
        <w:autoSpaceDN w:val="0"/>
        <w:adjustRightInd w:val="0"/>
        <w:spacing w:after="0"/>
        <w:ind w:left="480" w:hanging="480"/>
        <w:rPr>
          <w:rFonts w:ascii="Times New Roman" w:hAnsi="Times New Roman" w:cs="Times New Roman"/>
          <w:noProof/>
          <w:szCs w:val="24"/>
        </w:rPr>
      </w:pPr>
    </w:p>
    <w:p w14:paraId="24B45FF6" w14:textId="06DAD8EC" w:rsidR="00391E3A" w:rsidRPr="005B5B52" w:rsidRDefault="00391E3A"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lang w:val="en-US"/>
        </w:rPr>
        <w:t xml:space="preserve">Ross, S. A., Westerfield, R. W., &amp; Jaffe, J. F. (2018). </w:t>
      </w:r>
      <w:r w:rsidRPr="005B5B52">
        <w:rPr>
          <w:rFonts w:ascii="Times New Roman" w:hAnsi="Times New Roman" w:cs="Times New Roman"/>
          <w:i/>
          <w:iCs/>
          <w:noProof/>
          <w:szCs w:val="24"/>
        </w:rPr>
        <w:t>Finanzas corporativas</w:t>
      </w:r>
      <w:r w:rsidRPr="005B5B52">
        <w:rPr>
          <w:rFonts w:ascii="Times New Roman" w:hAnsi="Times New Roman" w:cs="Times New Roman"/>
          <w:noProof/>
          <w:szCs w:val="24"/>
        </w:rPr>
        <w:t>.</w:t>
      </w:r>
      <w:r w:rsidR="001475DC" w:rsidRPr="005B5B52">
        <w:rPr>
          <w:rFonts w:ascii="Times New Roman" w:hAnsi="Times New Roman" w:cs="Times New Roman"/>
          <w:noProof/>
          <w:szCs w:val="24"/>
        </w:rPr>
        <w:t xml:space="preserve"> </w:t>
      </w:r>
      <w:r w:rsidR="00CB517C">
        <w:rPr>
          <w:rFonts w:ascii="Times New Roman" w:hAnsi="Times New Roman" w:cs="Times New Roman"/>
          <w:noProof/>
          <w:szCs w:val="24"/>
        </w:rPr>
        <w:t>España: M</w:t>
      </w:r>
      <w:r w:rsidR="001475DC" w:rsidRPr="005B5B52">
        <w:rPr>
          <w:rFonts w:ascii="Times New Roman" w:hAnsi="Times New Roman" w:cs="Times New Roman"/>
          <w:noProof/>
          <w:szCs w:val="24"/>
        </w:rPr>
        <w:t>cGraw-Hill Interamericana de España S.L.</w:t>
      </w:r>
    </w:p>
    <w:p w14:paraId="4210DB58" w14:textId="77777777" w:rsidR="00A12C40" w:rsidRPr="005B5B52" w:rsidRDefault="00A12C40" w:rsidP="00A630DC">
      <w:pPr>
        <w:widowControl w:val="0"/>
        <w:autoSpaceDE w:val="0"/>
        <w:autoSpaceDN w:val="0"/>
        <w:adjustRightInd w:val="0"/>
        <w:spacing w:after="0"/>
        <w:ind w:left="480" w:hanging="480"/>
        <w:rPr>
          <w:rFonts w:ascii="Times New Roman" w:hAnsi="Times New Roman" w:cs="Times New Roman"/>
          <w:noProof/>
          <w:szCs w:val="24"/>
        </w:rPr>
      </w:pPr>
    </w:p>
    <w:p w14:paraId="59327A61" w14:textId="1573E664"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lang w:val="en-US"/>
        </w:rPr>
      </w:pPr>
      <w:r w:rsidRPr="005B5B52">
        <w:rPr>
          <w:rFonts w:ascii="Times New Roman" w:hAnsi="Times New Roman" w:cs="Times New Roman"/>
          <w:noProof/>
          <w:szCs w:val="24"/>
        </w:rPr>
        <w:t xml:space="preserve">SU, A., N, M., Islam, N., &amp; M, A. (2017). </w:t>
      </w:r>
      <w:r w:rsidRPr="005B5B52">
        <w:rPr>
          <w:rFonts w:ascii="Times New Roman" w:hAnsi="Times New Roman" w:cs="Times New Roman"/>
          <w:noProof/>
          <w:szCs w:val="24"/>
          <w:lang w:val="en-US"/>
        </w:rPr>
        <w:t xml:space="preserve">Impact of Working Capital Management on Profitability: A Study on Textile Companies of Bangladesh. </w:t>
      </w:r>
      <w:r w:rsidRPr="005B5B52">
        <w:rPr>
          <w:rFonts w:ascii="Times New Roman" w:hAnsi="Times New Roman" w:cs="Times New Roman"/>
          <w:i/>
          <w:iCs/>
          <w:noProof/>
          <w:szCs w:val="24"/>
          <w:lang w:val="en-US"/>
        </w:rPr>
        <w:t>Journal of Business &amp; Financial Affairs</w:t>
      </w:r>
      <w:r w:rsidRPr="005B5B52">
        <w:rPr>
          <w:rFonts w:ascii="Times New Roman" w:hAnsi="Times New Roman" w:cs="Times New Roman"/>
          <w:noProof/>
          <w:szCs w:val="24"/>
          <w:lang w:val="en-US"/>
        </w:rPr>
        <w:t xml:space="preserve">, </w:t>
      </w:r>
      <w:r w:rsidRPr="005B5B52">
        <w:rPr>
          <w:rFonts w:ascii="Times New Roman" w:hAnsi="Times New Roman" w:cs="Times New Roman"/>
          <w:i/>
          <w:iCs/>
          <w:noProof/>
          <w:szCs w:val="24"/>
          <w:lang w:val="en-US"/>
        </w:rPr>
        <w:t>06</w:t>
      </w:r>
      <w:r w:rsidRPr="005B5B52">
        <w:rPr>
          <w:rFonts w:ascii="Times New Roman" w:hAnsi="Times New Roman" w:cs="Times New Roman"/>
          <w:noProof/>
          <w:szCs w:val="24"/>
          <w:lang w:val="en-US"/>
        </w:rPr>
        <w:t xml:space="preserve">(04). </w:t>
      </w:r>
      <w:r w:rsidR="0055446E" w:rsidRPr="00FE63A2">
        <w:rPr>
          <w:rFonts w:ascii="Times New Roman" w:hAnsi="Times New Roman" w:cs="Times New Roman"/>
          <w:noProof/>
          <w:szCs w:val="24"/>
          <w:lang w:val="en-US"/>
        </w:rPr>
        <w:t>doi:</w:t>
      </w:r>
      <w:r w:rsidR="00EB5BB0" w:rsidRPr="00FE63A2">
        <w:rPr>
          <w:rFonts w:ascii="Times New Roman" w:hAnsi="Times New Roman" w:cs="Times New Roman"/>
          <w:noProof/>
          <w:szCs w:val="24"/>
          <w:lang w:val="en-US"/>
        </w:rPr>
        <w:t xml:space="preserve"> </w:t>
      </w:r>
      <w:r w:rsidRPr="005B5B52">
        <w:rPr>
          <w:rFonts w:ascii="Times New Roman" w:hAnsi="Times New Roman" w:cs="Times New Roman"/>
          <w:noProof/>
          <w:szCs w:val="24"/>
          <w:lang w:val="en-US"/>
        </w:rPr>
        <w:t>https://doi.org/10.4172/2167-0234.1000292</w:t>
      </w:r>
    </w:p>
    <w:p w14:paraId="31CD18AE" w14:textId="77777777" w:rsidR="00C74F44" w:rsidRDefault="00C74F44" w:rsidP="00A630DC">
      <w:pPr>
        <w:widowControl w:val="0"/>
        <w:autoSpaceDE w:val="0"/>
        <w:autoSpaceDN w:val="0"/>
        <w:adjustRightInd w:val="0"/>
        <w:spacing w:after="0"/>
        <w:ind w:left="480" w:hanging="480"/>
        <w:rPr>
          <w:rFonts w:ascii="Times New Roman" w:hAnsi="Times New Roman" w:cs="Times New Roman"/>
          <w:noProof/>
          <w:szCs w:val="24"/>
          <w:lang w:val="en-US"/>
        </w:rPr>
      </w:pPr>
    </w:p>
    <w:p w14:paraId="3AC9BDDE" w14:textId="77777777" w:rsidR="00CB517C" w:rsidRPr="005B5B52" w:rsidRDefault="00CB517C" w:rsidP="00A630DC">
      <w:pPr>
        <w:widowControl w:val="0"/>
        <w:autoSpaceDE w:val="0"/>
        <w:autoSpaceDN w:val="0"/>
        <w:adjustRightInd w:val="0"/>
        <w:spacing w:after="0"/>
        <w:ind w:left="480" w:hanging="480"/>
        <w:rPr>
          <w:rFonts w:ascii="Times New Roman" w:hAnsi="Times New Roman" w:cs="Times New Roman"/>
          <w:noProof/>
          <w:szCs w:val="24"/>
          <w:lang w:val="en-US"/>
        </w:rPr>
      </w:pPr>
    </w:p>
    <w:p w14:paraId="008DD3CD" w14:textId="08EAC619"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lang w:val="en-US"/>
        </w:rPr>
        <w:lastRenderedPageBreak/>
        <w:t xml:space="preserve">Superintendencia de sociedades. </w:t>
      </w:r>
      <w:r w:rsidRPr="005B5B52">
        <w:rPr>
          <w:rFonts w:ascii="Times New Roman" w:hAnsi="Times New Roman" w:cs="Times New Roman"/>
          <w:noProof/>
          <w:szCs w:val="24"/>
        </w:rPr>
        <w:t xml:space="preserve">(2023). </w:t>
      </w:r>
      <w:r w:rsidRPr="005B5B52">
        <w:rPr>
          <w:rFonts w:ascii="Times New Roman" w:hAnsi="Times New Roman" w:cs="Times New Roman"/>
          <w:i/>
          <w:iCs/>
          <w:noProof/>
          <w:szCs w:val="24"/>
        </w:rPr>
        <w:t>1000 Empresas Más Grandes</w:t>
      </w:r>
      <w:r w:rsidR="00706E61" w:rsidRPr="005B5B52">
        <w:rPr>
          <w:rFonts w:ascii="Times New Roman" w:hAnsi="Times New Roman" w:cs="Times New Roman"/>
          <w:noProof/>
          <w:szCs w:val="24"/>
        </w:rPr>
        <w:t xml:space="preserve">. 1000 Empresas Más Grandes. Obtenido de </w:t>
      </w:r>
      <w:r w:rsidR="0096750D" w:rsidRPr="005B5B52">
        <w:rPr>
          <w:rFonts w:ascii="Times New Roman" w:hAnsi="Times New Roman" w:cs="Times New Roman"/>
          <w:noProof/>
          <w:szCs w:val="24"/>
        </w:rPr>
        <w:t>https://acortar.link/pBnArE</w:t>
      </w:r>
    </w:p>
    <w:p w14:paraId="4C7EC6F0" w14:textId="77777777" w:rsidR="00706E61" w:rsidRPr="005B5B52" w:rsidRDefault="00706E61" w:rsidP="00A630DC">
      <w:pPr>
        <w:widowControl w:val="0"/>
        <w:autoSpaceDE w:val="0"/>
        <w:autoSpaceDN w:val="0"/>
        <w:adjustRightInd w:val="0"/>
        <w:spacing w:after="0"/>
        <w:ind w:left="480" w:hanging="480"/>
        <w:rPr>
          <w:rFonts w:ascii="Times New Roman" w:hAnsi="Times New Roman" w:cs="Times New Roman"/>
          <w:noProof/>
          <w:szCs w:val="24"/>
        </w:rPr>
      </w:pPr>
    </w:p>
    <w:p w14:paraId="5C031CEA" w14:textId="2CF669B9" w:rsidR="000162D8" w:rsidRPr="005B5B52" w:rsidRDefault="000162D8" w:rsidP="00A630DC">
      <w:pPr>
        <w:widowControl w:val="0"/>
        <w:autoSpaceDE w:val="0"/>
        <w:autoSpaceDN w:val="0"/>
        <w:adjustRightInd w:val="0"/>
        <w:spacing w:after="0"/>
        <w:ind w:left="480" w:hanging="480"/>
        <w:rPr>
          <w:rFonts w:ascii="Times New Roman" w:hAnsi="Times New Roman" w:cs="Times New Roman"/>
          <w:noProof/>
          <w:szCs w:val="24"/>
        </w:rPr>
      </w:pPr>
      <w:r w:rsidRPr="005B5B52">
        <w:rPr>
          <w:rFonts w:ascii="Times New Roman" w:hAnsi="Times New Roman" w:cs="Times New Roman"/>
          <w:noProof/>
          <w:szCs w:val="24"/>
        </w:rPr>
        <w:t>Torres</w:t>
      </w:r>
      <w:r w:rsidR="00DF2D52">
        <w:rPr>
          <w:rFonts w:ascii="Times New Roman" w:hAnsi="Times New Roman" w:cs="Times New Roman"/>
          <w:noProof/>
          <w:szCs w:val="24"/>
        </w:rPr>
        <w:t>-</w:t>
      </w:r>
      <w:r w:rsidRPr="005B5B52">
        <w:rPr>
          <w:rFonts w:ascii="Times New Roman" w:hAnsi="Times New Roman" w:cs="Times New Roman"/>
          <w:noProof/>
          <w:szCs w:val="24"/>
        </w:rPr>
        <w:t>Ochoa, A., &amp; Gómez</w:t>
      </w:r>
      <w:r w:rsidR="00DF2D52">
        <w:rPr>
          <w:rFonts w:ascii="Times New Roman" w:hAnsi="Times New Roman" w:cs="Times New Roman"/>
          <w:noProof/>
          <w:szCs w:val="24"/>
        </w:rPr>
        <w:t>-</w:t>
      </w:r>
      <w:r w:rsidRPr="005B5B52">
        <w:rPr>
          <w:rFonts w:ascii="Times New Roman" w:hAnsi="Times New Roman" w:cs="Times New Roman"/>
          <w:noProof/>
          <w:szCs w:val="24"/>
        </w:rPr>
        <w:t xml:space="preserve">Ortiz, </w:t>
      </w:r>
      <w:r w:rsidR="00DF2D52">
        <w:rPr>
          <w:rFonts w:ascii="Times New Roman" w:hAnsi="Times New Roman" w:cs="Times New Roman"/>
          <w:noProof/>
          <w:szCs w:val="24"/>
        </w:rPr>
        <w:t>E. J</w:t>
      </w:r>
      <w:r w:rsidRPr="005B5B52">
        <w:rPr>
          <w:rFonts w:ascii="Times New Roman" w:hAnsi="Times New Roman" w:cs="Times New Roman"/>
          <w:noProof/>
          <w:szCs w:val="24"/>
        </w:rPr>
        <w:t xml:space="preserve">. (2017). Comprensión de la gestión financiera en las entidades sin ánimo de lucro, sustentada desde el presupuesto. </w:t>
      </w:r>
      <w:r w:rsidRPr="005B5B52">
        <w:rPr>
          <w:rFonts w:ascii="Times New Roman" w:hAnsi="Times New Roman" w:cs="Times New Roman"/>
          <w:i/>
          <w:iCs/>
          <w:noProof/>
          <w:szCs w:val="24"/>
        </w:rPr>
        <w:t>Gestión y Desarrollo Libre</w:t>
      </w:r>
      <w:r w:rsidRPr="005B5B52">
        <w:rPr>
          <w:rFonts w:ascii="Times New Roman" w:hAnsi="Times New Roman" w:cs="Times New Roman"/>
          <w:noProof/>
          <w:szCs w:val="24"/>
        </w:rPr>
        <w:t xml:space="preserve">, </w:t>
      </w:r>
      <w:r w:rsidRPr="00CB517C">
        <w:rPr>
          <w:rFonts w:ascii="Times New Roman" w:hAnsi="Times New Roman" w:cs="Times New Roman"/>
          <w:noProof/>
          <w:szCs w:val="24"/>
        </w:rPr>
        <w:t>1</w:t>
      </w:r>
      <w:r w:rsidRPr="005B5B52">
        <w:rPr>
          <w:rFonts w:ascii="Times New Roman" w:hAnsi="Times New Roman" w:cs="Times New Roman"/>
          <w:noProof/>
          <w:szCs w:val="24"/>
        </w:rPr>
        <w:t xml:space="preserve">(2), 121–138. </w:t>
      </w:r>
      <w:r w:rsidR="00D428FC" w:rsidRPr="005B5B52">
        <w:rPr>
          <w:rFonts w:ascii="Times New Roman" w:hAnsi="Times New Roman" w:cs="Times New Roman"/>
          <w:noProof/>
          <w:szCs w:val="24"/>
        </w:rPr>
        <w:t xml:space="preserve">Otenido de </w:t>
      </w:r>
      <w:r w:rsidR="004061FC" w:rsidRPr="005B5B52">
        <w:rPr>
          <w:rFonts w:ascii="Times New Roman" w:hAnsi="Times New Roman" w:cs="Times New Roman"/>
          <w:noProof/>
          <w:szCs w:val="24"/>
        </w:rPr>
        <w:t>https://revistas.unilibre.edu.co/index.php/gestion_libre/article/view/3211/9476</w:t>
      </w:r>
    </w:p>
    <w:p w14:paraId="7D20C39A" w14:textId="77777777" w:rsidR="00E8635F" w:rsidRPr="005B5B52" w:rsidRDefault="00E8635F" w:rsidP="00A630DC">
      <w:pPr>
        <w:widowControl w:val="0"/>
        <w:autoSpaceDE w:val="0"/>
        <w:autoSpaceDN w:val="0"/>
        <w:adjustRightInd w:val="0"/>
        <w:spacing w:after="0"/>
        <w:ind w:left="480" w:hanging="480"/>
        <w:rPr>
          <w:rFonts w:ascii="Times New Roman" w:hAnsi="Times New Roman" w:cs="Times New Roman"/>
          <w:noProof/>
          <w:szCs w:val="24"/>
        </w:rPr>
      </w:pPr>
    </w:p>
    <w:p w14:paraId="349699EE" w14:textId="0C26D676" w:rsidR="00C31349" w:rsidRPr="0014344A" w:rsidRDefault="000162D8" w:rsidP="00A630DC">
      <w:pPr>
        <w:widowControl w:val="0"/>
        <w:autoSpaceDE w:val="0"/>
        <w:autoSpaceDN w:val="0"/>
        <w:adjustRightInd w:val="0"/>
        <w:spacing w:after="0"/>
        <w:ind w:left="480" w:hanging="480"/>
        <w:rPr>
          <w:rFonts w:ascii="Times New Roman" w:hAnsi="Times New Roman" w:cs="Times New Roman"/>
          <w:noProof/>
          <w:szCs w:val="24"/>
          <w:lang w:val="es-ES"/>
        </w:rPr>
      </w:pPr>
      <w:r w:rsidRPr="005B5B52">
        <w:rPr>
          <w:rFonts w:ascii="Times New Roman" w:hAnsi="Times New Roman" w:cs="Times New Roman"/>
          <w:noProof/>
          <w:szCs w:val="24"/>
        </w:rPr>
        <w:t xml:space="preserve">UNSGSA. (2021). </w:t>
      </w:r>
      <w:r w:rsidRPr="005B5B52">
        <w:rPr>
          <w:rFonts w:ascii="Times New Roman" w:hAnsi="Times New Roman" w:cs="Times New Roman"/>
          <w:i/>
          <w:iCs/>
          <w:noProof/>
          <w:szCs w:val="24"/>
        </w:rPr>
        <w:t>Salud Financiera: Una introducción para los responsables de la formulación de políticas del sector financiero</w:t>
      </w:r>
      <w:r w:rsidR="00C84857" w:rsidRPr="005B5B52">
        <w:rPr>
          <w:rFonts w:ascii="Times New Roman" w:hAnsi="Times New Roman" w:cs="Times New Roman"/>
          <w:noProof/>
          <w:szCs w:val="24"/>
        </w:rPr>
        <w:t xml:space="preserve">. Obtenido de </w:t>
      </w:r>
      <w:r w:rsidR="00C630F5" w:rsidRPr="005B5B52">
        <w:rPr>
          <w:rFonts w:ascii="Times New Roman" w:hAnsi="Times New Roman" w:cs="Times New Roman"/>
          <w:noProof/>
          <w:szCs w:val="24"/>
        </w:rPr>
        <w:t xml:space="preserve">https://acortar.link/NZh1GV </w:t>
      </w:r>
      <w:r w:rsidRPr="005B5B52">
        <w:rPr>
          <w:rFonts w:ascii="Times New Roman" w:hAnsi="Times New Roman" w:cs="Times New Roman"/>
          <w:noProof/>
          <w:szCs w:val="24"/>
          <w:lang w:val="en-US"/>
        </w:rPr>
        <w:fldChar w:fldCharType="end"/>
      </w:r>
    </w:p>
    <w:p w14:paraId="655454E5" w14:textId="77777777" w:rsidR="003D3359" w:rsidRPr="0014344A" w:rsidRDefault="003D3359" w:rsidP="00A630DC">
      <w:pPr>
        <w:widowControl w:val="0"/>
        <w:autoSpaceDE w:val="0"/>
        <w:autoSpaceDN w:val="0"/>
        <w:adjustRightInd w:val="0"/>
        <w:spacing w:after="0"/>
        <w:ind w:left="480" w:hanging="480"/>
        <w:rPr>
          <w:rFonts w:ascii="Times New Roman" w:hAnsi="Times New Roman" w:cs="Times New Roman"/>
          <w:noProof/>
          <w:szCs w:val="24"/>
          <w:lang w:val="es-ES"/>
        </w:rPr>
      </w:pPr>
    </w:p>
    <w:p w14:paraId="1D971E56" w14:textId="109C078C" w:rsidR="00204EA6" w:rsidRPr="008D05DE" w:rsidRDefault="00EE68DF" w:rsidP="00A630DC">
      <w:pPr>
        <w:pStyle w:val="Bibliografa"/>
        <w:spacing w:after="0" w:line="240" w:lineRule="auto"/>
        <w:ind w:left="567" w:hanging="567"/>
        <w:jc w:val="both"/>
        <w:rPr>
          <w:rFonts w:ascii="Times New Roman" w:hAnsi="Times New Roman" w:cs="Times New Roman"/>
          <w:b/>
          <w:bCs/>
          <w:szCs w:val="24"/>
        </w:rPr>
      </w:pPr>
      <w:r w:rsidRPr="008D05DE">
        <w:rPr>
          <w:rFonts w:ascii="Times New Roman" w:hAnsi="Times New Roman" w:cs="Times New Roman"/>
          <w:b/>
          <w:bCs/>
          <w:szCs w:val="24"/>
        </w:rPr>
        <w:t>Agradecimiento</w:t>
      </w:r>
    </w:p>
    <w:p w14:paraId="05B1DD93" w14:textId="4DB3A859" w:rsidR="00D64F2F" w:rsidRPr="00885265" w:rsidRDefault="00F82AC9" w:rsidP="00A630DC">
      <w:pPr>
        <w:spacing w:after="0"/>
        <w:ind w:firstLine="284"/>
        <w:rPr>
          <w:rFonts w:ascii="Times New Roman" w:hAnsi="Times New Roman" w:cs="Times New Roman"/>
          <w:lang w:val="es-ES"/>
        </w:rPr>
      </w:pPr>
      <w:r w:rsidRPr="008D05DE">
        <w:rPr>
          <w:rFonts w:ascii="Times New Roman" w:hAnsi="Times New Roman" w:cs="Times New Roman"/>
          <w:lang w:val="es-ES"/>
        </w:rPr>
        <w:t xml:space="preserve">Al programa de </w:t>
      </w:r>
      <w:r w:rsidR="003A37A2">
        <w:rPr>
          <w:rFonts w:ascii="Times New Roman" w:hAnsi="Times New Roman" w:cs="Times New Roman"/>
          <w:lang w:val="es-ES"/>
        </w:rPr>
        <w:t xml:space="preserve">Administración de </w:t>
      </w:r>
      <w:r w:rsidR="00916AB3">
        <w:rPr>
          <w:rFonts w:ascii="Times New Roman" w:hAnsi="Times New Roman" w:cs="Times New Roman"/>
          <w:lang w:val="es-ES"/>
        </w:rPr>
        <w:t>N</w:t>
      </w:r>
      <w:r w:rsidR="003A37A2">
        <w:rPr>
          <w:rFonts w:ascii="Times New Roman" w:hAnsi="Times New Roman" w:cs="Times New Roman"/>
          <w:lang w:val="es-ES"/>
        </w:rPr>
        <w:t xml:space="preserve">egocios </w:t>
      </w:r>
      <w:r w:rsidR="00916AB3">
        <w:rPr>
          <w:rFonts w:ascii="Times New Roman" w:hAnsi="Times New Roman" w:cs="Times New Roman"/>
          <w:lang w:val="es-ES"/>
        </w:rPr>
        <w:t>I</w:t>
      </w:r>
      <w:r w:rsidR="003A37A2">
        <w:rPr>
          <w:rFonts w:ascii="Times New Roman" w:hAnsi="Times New Roman" w:cs="Times New Roman"/>
          <w:lang w:val="es-ES"/>
        </w:rPr>
        <w:t>nternacionales</w:t>
      </w:r>
      <w:r w:rsidRPr="008D05DE">
        <w:rPr>
          <w:rFonts w:ascii="Times New Roman" w:hAnsi="Times New Roman" w:cs="Times New Roman"/>
          <w:lang w:val="es-ES"/>
        </w:rPr>
        <w:t xml:space="preserve"> de la Universidad </w:t>
      </w:r>
      <w:r w:rsidR="00885265">
        <w:rPr>
          <w:rFonts w:ascii="Times New Roman" w:hAnsi="Times New Roman" w:cs="Times New Roman"/>
          <w:lang w:val="es-ES"/>
        </w:rPr>
        <w:t>Mariana</w:t>
      </w:r>
      <w:r w:rsidR="00916AB3">
        <w:rPr>
          <w:rFonts w:ascii="Times New Roman" w:hAnsi="Times New Roman" w:cs="Times New Roman"/>
          <w:lang w:val="es-ES"/>
        </w:rPr>
        <w:t xml:space="preserve"> de Pasto, Colombia</w:t>
      </w:r>
      <w:r w:rsidR="00885265">
        <w:rPr>
          <w:rFonts w:ascii="Times New Roman" w:hAnsi="Times New Roman" w:cs="Times New Roman"/>
          <w:lang w:val="es-ES"/>
        </w:rPr>
        <w:t>.</w:t>
      </w:r>
    </w:p>
    <w:p w14:paraId="18ACE111" w14:textId="77777777" w:rsidR="00795C13" w:rsidRDefault="00795C13" w:rsidP="00A630DC">
      <w:pPr>
        <w:spacing w:after="0"/>
        <w:ind w:firstLine="284"/>
        <w:rPr>
          <w:rFonts w:ascii="Times New Roman" w:hAnsi="Times New Roman" w:cs="Times New Roman"/>
          <w:szCs w:val="24"/>
          <w:lang w:val="es-ES"/>
        </w:rPr>
      </w:pPr>
    </w:p>
    <w:p w14:paraId="3B430DE3" w14:textId="77777777" w:rsidR="00795C13" w:rsidRDefault="00795C13" w:rsidP="00A630DC">
      <w:pPr>
        <w:spacing w:after="0"/>
        <w:ind w:firstLine="284"/>
        <w:rPr>
          <w:rFonts w:ascii="Times New Roman" w:hAnsi="Times New Roman" w:cs="Times New Roman"/>
          <w:szCs w:val="24"/>
          <w:lang w:val="es-ES"/>
        </w:rPr>
      </w:pPr>
    </w:p>
    <w:p w14:paraId="16788699" w14:textId="77777777" w:rsidR="00795C13" w:rsidRDefault="00795C13" w:rsidP="00A630DC">
      <w:pPr>
        <w:spacing w:after="0"/>
        <w:ind w:firstLine="284"/>
        <w:rPr>
          <w:rFonts w:ascii="Times New Roman" w:hAnsi="Times New Roman" w:cs="Times New Roman"/>
          <w:szCs w:val="24"/>
          <w:lang w:val="es-ES"/>
        </w:rPr>
      </w:pPr>
    </w:p>
    <w:sectPr w:rsidR="00795C13" w:rsidSect="00305755">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1C5CF" w14:textId="77777777" w:rsidR="00727129" w:rsidRDefault="00727129" w:rsidP="00DD7767">
      <w:pPr>
        <w:spacing w:after="0"/>
      </w:pPr>
      <w:r>
        <w:separator/>
      </w:r>
    </w:p>
  </w:endnote>
  <w:endnote w:type="continuationSeparator" w:id="0">
    <w:p w14:paraId="09F91E47" w14:textId="77777777" w:rsidR="00727129" w:rsidRDefault="00727129" w:rsidP="00DD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orinna BT">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980121328"/>
      <w:docPartObj>
        <w:docPartGallery w:val="Page Numbers (Bottom of Page)"/>
        <w:docPartUnique/>
      </w:docPartObj>
    </w:sdtPr>
    <w:sdtEndPr>
      <w:rPr>
        <w:rFonts w:ascii="Times New Roman" w:hAnsi="Times New Roman" w:cs="Times New Roman"/>
      </w:rPr>
    </w:sdtEndPr>
    <w:sdtContent>
      <w:p w14:paraId="3F59F349" w14:textId="77777777" w:rsidR="00697390" w:rsidRPr="006F3695" w:rsidRDefault="00697390" w:rsidP="005E76D6">
        <w:pPr>
          <w:pStyle w:val="Encabezado"/>
          <w:rPr>
            <w:rFonts w:ascii="Times New Roman" w:hAnsi="Times New Roman" w:cs="Times New Roman"/>
            <w:noProof/>
            <w:sz w:val="20"/>
            <w:szCs w:val="20"/>
          </w:rPr>
        </w:pPr>
      </w:p>
      <w:bookmarkStart w:id="6" w:name="_Hlk164099040" w:displacedByCustomXml="next"/>
      <w:sdt>
        <w:sdtPr>
          <w:id w:val="96764597"/>
          <w:docPartObj>
            <w:docPartGallery w:val="Page Numbers (Bottom of Page)"/>
            <w:docPartUnique/>
          </w:docPartObj>
        </w:sdtPr>
        <w:sdtEndPr>
          <w:rPr>
            <w:rFonts w:ascii="Times New Roman" w:hAnsi="Times New Roman"/>
            <w:sz w:val="20"/>
            <w:szCs w:val="20"/>
          </w:rPr>
        </w:sdtEndPr>
        <w:sdtContent>
          <w:p w14:paraId="3E24BA51" w14:textId="4A5B8A4E" w:rsidR="00697390" w:rsidRPr="006F3695" w:rsidRDefault="00697390" w:rsidP="005E76D6">
            <w:pPr>
              <w:pStyle w:val="Encabezado"/>
              <w:rPr>
                <w:rFonts w:ascii="Times New Roman" w:hAnsi="Times New Roman"/>
                <w:sz w:val="20"/>
                <w:szCs w:val="20"/>
                <w:lang w:val="es-ES"/>
              </w:rPr>
            </w:pPr>
            <w:r w:rsidRPr="006F3695">
              <w:rPr>
                <w:rFonts w:ascii="Times New Roman" w:hAnsi="Times New Roman"/>
                <w:sz w:val="20"/>
                <w:szCs w:val="20"/>
                <w:lang w:val="es-ES"/>
              </w:rPr>
              <w:t xml:space="preserve">Revista Gestión y Desarrollo Libre. </w:t>
            </w:r>
            <w:r w:rsidR="00A04F98" w:rsidRPr="00A04F98">
              <w:rPr>
                <w:rFonts w:ascii="Times New Roman" w:hAnsi="Times New Roman"/>
                <w:sz w:val="20"/>
                <w:szCs w:val="20"/>
                <w:lang w:val="es-ES"/>
              </w:rPr>
              <w:t>Año 9, N° 17, enero-junio 2024, pp. 1-14</w:t>
            </w:r>
          </w:p>
          <w:p w14:paraId="220C8D8B" w14:textId="77777777" w:rsidR="00697390" w:rsidRDefault="00697390" w:rsidP="005E76D6">
            <w:pPr>
              <w:pStyle w:val="Encabezado"/>
              <w:rPr>
                <w:rFonts w:ascii="Times New Roman" w:hAnsi="Times New Roman"/>
                <w:sz w:val="20"/>
                <w:szCs w:val="20"/>
                <w:lang w:val="es-ES"/>
              </w:rPr>
            </w:pPr>
            <w:r w:rsidRPr="006F3695">
              <w:rPr>
                <w:rFonts w:ascii="Times New Roman" w:hAnsi="Times New Roman"/>
                <w:sz w:val="20"/>
                <w:szCs w:val="20"/>
                <w:lang w:val="es-ES"/>
              </w:rPr>
              <w:t>ISSN 2539-3669</w:t>
            </w:r>
          </w:p>
          <w:p w14:paraId="569ED859" w14:textId="77777777" w:rsidR="00697390" w:rsidRPr="006F3695" w:rsidRDefault="00697390" w:rsidP="005E76D6">
            <w:pPr>
              <w:pStyle w:val="Encabezado"/>
              <w:rPr>
                <w:rFonts w:ascii="Times New Roman" w:hAnsi="Times New Roman"/>
                <w:sz w:val="20"/>
                <w:szCs w:val="20"/>
                <w:lang w:val="es-ES"/>
              </w:rPr>
            </w:pPr>
            <w:r>
              <w:rPr>
                <w:rFonts w:ascii="Times New Roman" w:hAnsi="Times New Roman"/>
                <w:sz w:val="20"/>
                <w:szCs w:val="20"/>
                <w:lang w:val="es-ES"/>
              </w:rPr>
              <w:t xml:space="preserve">Artículo de investigación </w:t>
            </w:r>
          </w:p>
          <w:p w14:paraId="26DEB9C8" w14:textId="31D60B44" w:rsidR="00697390" w:rsidRPr="006F3695" w:rsidRDefault="00697390" w:rsidP="00433F0B">
            <w:pPr>
              <w:pStyle w:val="Encabezado"/>
              <w:rPr>
                <w:sz w:val="20"/>
                <w:szCs w:val="20"/>
                <w:lang w:val="es-ES"/>
              </w:rPr>
            </w:pPr>
            <w:r w:rsidRPr="00433F0B">
              <w:rPr>
                <w:rFonts w:ascii="Times New Roman" w:hAnsi="Times New Roman"/>
                <w:sz w:val="20"/>
                <w:szCs w:val="20"/>
                <w:lang w:val="es-ES"/>
              </w:rPr>
              <w:t>https://doi.org/10.18041/2539-3669/gestionlibre.18.2024.11781</w:t>
            </w:r>
          </w:p>
          <w:bookmarkEnd w:id="6"/>
          <w:p w14:paraId="4989F344" w14:textId="77777777" w:rsidR="00697390" w:rsidRPr="004C25FE" w:rsidRDefault="00697390" w:rsidP="005E76D6">
            <w:pPr>
              <w:pStyle w:val="Piedepgina"/>
              <w:rPr>
                <w:rFonts w:ascii="Times New Roman" w:hAnsi="Times New Roman"/>
                <w:sz w:val="20"/>
                <w:szCs w:val="20"/>
              </w:rPr>
            </w:pPr>
          </w:p>
          <w:p w14:paraId="3AF6C10A" w14:textId="6AB40D51" w:rsidR="00697390" w:rsidRPr="005E76D6" w:rsidRDefault="00697390" w:rsidP="005E76D6">
            <w:pPr>
              <w:pStyle w:val="Piedepgina"/>
              <w:rPr>
                <w:rFonts w:ascii="Times New Roman" w:hAnsi="Times New Roman"/>
                <w:sz w:val="20"/>
                <w:szCs w:val="20"/>
              </w:rPr>
            </w:pPr>
            <w:r w:rsidRPr="004C25FE">
              <w:rPr>
                <w:rFonts w:ascii="Times New Roman" w:hAnsi="Times New Roman"/>
                <w:sz w:val="20"/>
                <w:szCs w:val="20"/>
              </w:rPr>
              <w:fldChar w:fldCharType="begin"/>
            </w:r>
            <w:r w:rsidRPr="004C25FE">
              <w:rPr>
                <w:rFonts w:ascii="Times New Roman" w:hAnsi="Times New Roman"/>
                <w:sz w:val="20"/>
                <w:szCs w:val="20"/>
              </w:rPr>
              <w:instrText>PAGE   \* MERGEFORMAT</w:instrText>
            </w:r>
            <w:r w:rsidRPr="004C25FE">
              <w:rPr>
                <w:rFonts w:ascii="Times New Roman" w:hAnsi="Times New Roman"/>
                <w:sz w:val="20"/>
                <w:szCs w:val="20"/>
              </w:rPr>
              <w:fldChar w:fldCharType="separate"/>
            </w:r>
            <w:r w:rsidR="004777CF">
              <w:rPr>
                <w:rFonts w:ascii="Times New Roman" w:hAnsi="Times New Roman"/>
                <w:noProof/>
                <w:sz w:val="20"/>
                <w:szCs w:val="20"/>
              </w:rPr>
              <w:t>14</w:t>
            </w:r>
            <w:r w:rsidRPr="004C25FE">
              <w:rPr>
                <w:rFonts w:ascii="Times New Roman" w:hAnsi="Times New Roman"/>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AEB5" w14:textId="77777777" w:rsidR="00697390" w:rsidRDefault="00697390" w:rsidP="00CF77FF">
    <w:pPr>
      <w:pStyle w:val="Encabezado"/>
      <w:jc w:val="right"/>
      <w:rPr>
        <w:rFonts w:ascii="Times New Roman" w:hAnsi="Times New Roman" w:cs="Times New Roman"/>
        <w:noProof/>
        <w:sz w:val="20"/>
        <w:szCs w:val="20"/>
        <w:lang w:val="es-ES"/>
      </w:rPr>
    </w:pPr>
  </w:p>
  <w:sdt>
    <w:sdtPr>
      <w:id w:val="681479534"/>
      <w:docPartObj>
        <w:docPartGallery w:val="Page Numbers (Bottom of Page)"/>
        <w:docPartUnique/>
      </w:docPartObj>
    </w:sdtPr>
    <w:sdtEndPr>
      <w:rPr>
        <w:rFonts w:ascii="Times New Roman" w:hAnsi="Times New Roman"/>
        <w:sz w:val="20"/>
        <w:szCs w:val="20"/>
      </w:rPr>
    </w:sdtEndPr>
    <w:sdtContent>
      <w:p w14:paraId="134786E1" w14:textId="0FF54F04" w:rsidR="00697390" w:rsidRPr="006F3695" w:rsidRDefault="00697390" w:rsidP="005E76D6">
        <w:pPr>
          <w:pStyle w:val="Encabezado"/>
          <w:jc w:val="right"/>
          <w:rPr>
            <w:rFonts w:ascii="Times New Roman" w:hAnsi="Times New Roman"/>
            <w:sz w:val="20"/>
            <w:szCs w:val="20"/>
            <w:lang w:val="es-ES"/>
          </w:rPr>
        </w:pPr>
        <w:r w:rsidRPr="006F3695">
          <w:rPr>
            <w:rFonts w:ascii="Times New Roman" w:hAnsi="Times New Roman"/>
            <w:sz w:val="20"/>
            <w:szCs w:val="20"/>
            <w:lang w:val="es-ES"/>
          </w:rPr>
          <w:t xml:space="preserve">Revista Gestión y Desarrollo Libre. </w:t>
        </w:r>
        <w:r w:rsidR="00A04F98" w:rsidRPr="00A04F98">
          <w:rPr>
            <w:rFonts w:ascii="Times New Roman" w:hAnsi="Times New Roman"/>
            <w:sz w:val="20"/>
            <w:szCs w:val="20"/>
            <w:lang w:val="es-ES"/>
          </w:rPr>
          <w:t>Año 9, N° 17, enero-junio 2024, pp. 1-14</w:t>
        </w:r>
      </w:p>
      <w:p w14:paraId="3A0E1FCF" w14:textId="77777777" w:rsidR="00697390" w:rsidRDefault="00697390" w:rsidP="005E76D6">
        <w:pPr>
          <w:pStyle w:val="Encabezado"/>
          <w:jc w:val="right"/>
          <w:rPr>
            <w:rFonts w:ascii="Times New Roman" w:hAnsi="Times New Roman"/>
            <w:sz w:val="20"/>
            <w:szCs w:val="20"/>
            <w:lang w:val="es-ES"/>
          </w:rPr>
        </w:pPr>
        <w:r w:rsidRPr="006F3695">
          <w:rPr>
            <w:rFonts w:ascii="Times New Roman" w:hAnsi="Times New Roman"/>
            <w:sz w:val="20"/>
            <w:szCs w:val="20"/>
            <w:lang w:val="es-ES"/>
          </w:rPr>
          <w:t>ISSN 2539-3669</w:t>
        </w:r>
      </w:p>
      <w:p w14:paraId="4AE71945" w14:textId="3F53FFEC" w:rsidR="00697390" w:rsidRDefault="00697390" w:rsidP="005E76D6">
        <w:pPr>
          <w:pStyle w:val="Encabezado"/>
          <w:jc w:val="right"/>
          <w:rPr>
            <w:rFonts w:ascii="Times New Roman" w:hAnsi="Times New Roman"/>
            <w:sz w:val="20"/>
            <w:szCs w:val="20"/>
            <w:lang w:val="es-ES"/>
          </w:rPr>
        </w:pPr>
        <w:r>
          <w:rPr>
            <w:rFonts w:ascii="Times New Roman" w:hAnsi="Times New Roman"/>
            <w:sz w:val="20"/>
            <w:szCs w:val="20"/>
            <w:lang w:val="es-ES"/>
          </w:rPr>
          <w:t>Artículo de investigación</w:t>
        </w:r>
      </w:p>
      <w:p w14:paraId="1EC15A70" w14:textId="7967303D" w:rsidR="00697390" w:rsidRPr="006F3695" w:rsidRDefault="00697390" w:rsidP="00433F0B">
        <w:pPr>
          <w:pStyle w:val="Encabezado"/>
          <w:jc w:val="right"/>
          <w:rPr>
            <w:sz w:val="20"/>
            <w:szCs w:val="20"/>
            <w:lang w:val="es-ES"/>
          </w:rPr>
        </w:pPr>
        <w:r w:rsidRPr="00433F0B">
          <w:rPr>
            <w:rFonts w:ascii="Times New Roman" w:hAnsi="Times New Roman"/>
            <w:sz w:val="20"/>
            <w:szCs w:val="20"/>
            <w:lang w:val="es-ES"/>
          </w:rPr>
          <w:t>https://doi.org/10.18041/2539-3669/gestionlibre.18.2024.11781</w:t>
        </w:r>
      </w:p>
      <w:p w14:paraId="7AB74384" w14:textId="77777777" w:rsidR="00697390" w:rsidRPr="004C25FE" w:rsidRDefault="00697390" w:rsidP="005E76D6">
        <w:pPr>
          <w:pStyle w:val="Piedepgina"/>
          <w:jc w:val="right"/>
          <w:rPr>
            <w:rFonts w:ascii="Times New Roman" w:hAnsi="Times New Roman"/>
            <w:sz w:val="20"/>
            <w:szCs w:val="20"/>
          </w:rPr>
        </w:pPr>
      </w:p>
      <w:p w14:paraId="76076235" w14:textId="27EB456C" w:rsidR="00697390" w:rsidRPr="005E76D6" w:rsidRDefault="00697390" w:rsidP="005E76D6">
        <w:pPr>
          <w:pStyle w:val="Piedepgina"/>
          <w:jc w:val="right"/>
          <w:rPr>
            <w:rFonts w:ascii="Times New Roman" w:hAnsi="Times New Roman"/>
            <w:sz w:val="20"/>
            <w:szCs w:val="20"/>
          </w:rPr>
        </w:pPr>
        <w:r w:rsidRPr="004C25FE">
          <w:rPr>
            <w:rFonts w:ascii="Times New Roman" w:hAnsi="Times New Roman"/>
            <w:sz w:val="20"/>
            <w:szCs w:val="20"/>
          </w:rPr>
          <w:fldChar w:fldCharType="begin"/>
        </w:r>
        <w:r w:rsidRPr="004C25FE">
          <w:rPr>
            <w:rFonts w:ascii="Times New Roman" w:hAnsi="Times New Roman"/>
            <w:sz w:val="20"/>
            <w:szCs w:val="20"/>
          </w:rPr>
          <w:instrText>PAGE   \* MERGEFORMAT</w:instrText>
        </w:r>
        <w:r w:rsidRPr="004C25FE">
          <w:rPr>
            <w:rFonts w:ascii="Times New Roman" w:hAnsi="Times New Roman"/>
            <w:sz w:val="20"/>
            <w:szCs w:val="20"/>
          </w:rPr>
          <w:fldChar w:fldCharType="separate"/>
        </w:r>
        <w:r w:rsidR="004777CF">
          <w:rPr>
            <w:rFonts w:ascii="Times New Roman" w:hAnsi="Times New Roman"/>
            <w:noProof/>
            <w:sz w:val="20"/>
            <w:szCs w:val="20"/>
          </w:rPr>
          <w:t>13</w:t>
        </w:r>
        <w:r w:rsidRPr="004C25FE">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590398"/>
      <w:docPartObj>
        <w:docPartGallery w:val="Page Numbers (Bottom of Page)"/>
        <w:docPartUnique/>
      </w:docPartObj>
    </w:sdtPr>
    <w:sdtEndPr>
      <w:rPr>
        <w:rFonts w:ascii="Times New Roman" w:hAnsi="Times New Roman" w:cs="Times New Roman"/>
        <w:sz w:val="20"/>
        <w:szCs w:val="20"/>
      </w:rPr>
    </w:sdtEndPr>
    <w:sdtContent>
      <w:p w14:paraId="50A0B077" w14:textId="1659EDD7" w:rsidR="00697390" w:rsidRPr="0020180D" w:rsidRDefault="00697390">
        <w:pPr>
          <w:pStyle w:val="Piedepgina"/>
          <w:jc w:val="right"/>
          <w:rPr>
            <w:rFonts w:ascii="Times New Roman" w:hAnsi="Times New Roman" w:cs="Times New Roman"/>
            <w:sz w:val="20"/>
            <w:szCs w:val="20"/>
          </w:rPr>
        </w:pPr>
        <w:r w:rsidRPr="0020180D">
          <w:rPr>
            <w:rFonts w:ascii="Times New Roman" w:hAnsi="Times New Roman" w:cs="Times New Roman"/>
            <w:sz w:val="20"/>
            <w:szCs w:val="20"/>
          </w:rPr>
          <w:fldChar w:fldCharType="begin"/>
        </w:r>
        <w:r w:rsidRPr="0020180D">
          <w:rPr>
            <w:rFonts w:ascii="Times New Roman" w:hAnsi="Times New Roman" w:cs="Times New Roman"/>
            <w:sz w:val="20"/>
            <w:szCs w:val="20"/>
          </w:rPr>
          <w:instrText>PAGE   \* MERGEFORMAT</w:instrText>
        </w:r>
        <w:r w:rsidRPr="0020180D">
          <w:rPr>
            <w:rFonts w:ascii="Times New Roman" w:hAnsi="Times New Roman" w:cs="Times New Roman"/>
            <w:sz w:val="20"/>
            <w:szCs w:val="20"/>
          </w:rPr>
          <w:fldChar w:fldCharType="separate"/>
        </w:r>
        <w:r w:rsidR="00850CBE" w:rsidRPr="00850CBE">
          <w:rPr>
            <w:rFonts w:ascii="Times New Roman" w:hAnsi="Times New Roman" w:cs="Times New Roman"/>
            <w:noProof/>
            <w:sz w:val="20"/>
            <w:szCs w:val="20"/>
            <w:lang w:val="es-ES"/>
          </w:rPr>
          <w:t>1</w:t>
        </w:r>
        <w:r w:rsidRPr="0020180D">
          <w:rPr>
            <w:rFonts w:ascii="Times New Roman" w:hAnsi="Times New Roman" w:cs="Times New Roman"/>
            <w:sz w:val="20"/>
            <w:szCs w:val="20"/>
          </w:rPr>
          <w:fldChar w:fldCharType="end"/>
        </w:r>
      </w:p>
    </w:sdtContent>
  </w:sdt>
  <w:p w14:paraId="1914D97A" w14:textId="77777777" w:rsidR="00697390" w:rsidRDefault="006973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2E45C" w14:textId="77777777" w:rsidR="00727129" w:rsidRDefault="00727129" w:rsidP="00DD7767">
      <w:pPr>
        <w:spacing w:after="0"/>
      </w:pPr>
      <w:r>
        <w:separator/>
      </w:r>
    </w:p>
  </w:footnote>
  <w:footnote w:type="continuationSeparator" w:id="0">
    <w:p w14:paraId="1D16012D" w14:textId="77777777" w:rsidR="00727129" w:rsidRDefault="00727129" w:rsidP="00DD7767">
      <w:pPr>
        <w:spacing w:after="0"/>
      </w:pPr>
      <w:r>
        <w:continuationSeparator/>
      </w:r>
    </w:p>
  </w:footnote>
  <w:footnote w:id="1">
    <w:p w14:paraId="1A344C40" w14:textId="2B0E2D4E" w:rsidR="00FD5602" w:rsidRPr="0014344A" w:rsidRDefault="00FD5602">
      <w:pPr>
        <w:pStyle w:val="Textonotapie"/>
        <w:rPr>
          <w:rFonts w:ascii="Times New Roman" w:hAnsi="Times New Roman" w:cs="Times New Roman"/>
          <w:lang w:val="es-ES"/>
        </w:rPr>
      </w:pPr>
      <w:r w:rsidRPr="0014344A">
        <w:rPr>
          <w:rStyle w:val="Refdenotaalpie"/>
          <w:rFonts w:ascii="Times New Roman" w:hAnsi="Times New Roman" w:cs="Times New Roman"/>
        </w:rPr>
        <w:t>*</w:t>
      </w:r>
      <w:r w:rsidRPr="0014344A">
        <w:rPr>
          <w:rFonts w:ascii="Times New Roman" w:hAnsi="Times New Roman" w:cs="Times New Roman"/>
        </w:rPr>
        <w:t xml:space="preserve"> </w:t>
      </w:r>
      <w:r w:rsidRPr="0014344A">
        <w:rPr>
          <w:rFonts w:ascii="Times New Roman" w:hAnsi="Times New Roman" w:cs="Times New Roman"/>
          <w:lang w:val="es-ES"/>
        </w:rPr>
        <w:t>Artículo inédito. Artículo de investigación e innovación. Artículo de investigación. Trabajo vinculado al proyecto denominado “Análisis de la incidencia de las estructuras de capital de trabajo en la rentabilidad de las grandes empresas del sector comercio en Colombia”. Grupo de investigación ELITE EMPRESARIAL de la Universidad Mariana de Pasto, Colombia.</w:t>
      </w:r>
    </w:p>
  </w:footnote>
  <w:footnote w:id="2">
    <w:p w14:paraId="004892E3" w14:textId="565D551B" w:rsidR="00FD5602" w:rsidRPr="0014344A" w:rsidRDefault="00FD5602">
      <w:pPr>
        <w:pStyle w:val="Textonotapie"/>
        <w:rPr>
          <w:rFonts w:ascii="Times New Roman" w:hAnsi="Times New Roman" w:cs="Times New Roman"/>
          <w:lang w:val="es-ES"/>
        </w:rPr>
      </w:pPr>
      <w:r w:rsidRPr="0014344A">
        <w:rPr>
          <w:rStyle w:val="Refdenotaalpie"/>
          <w:rFonts w:ascii="Times New Roman" w:hAnsi="Times New Roman" w:cs="Times New Roman"/>
        </w:rPr>
        <w:t>**</w:t>
      </w:r>
      <w:r w:rsidRPr="0014344A">
        <w:rPr>
          <w:rFonts w:ascii="Times New Roman" w:hAnsi="Times New Roman" w:cs="Times New Roman"/>
        </w:rPr>
        <w:t xml:space="preserve"> </w:t>
      </w:r>
      <w:r w:rsidRPr="0014344A">
        <w:rPr>
          <w:rFonts w:ascii="Times New Roman" w:hAnsi="Times New Roman" w:cs="Times New Roman"/>
          <w:lang w:val="es-ES"/>
        </w:rPr>
        <w:t>Magister en Gerencia y Asesoría Financiera por la Universidad Mariana de Pasto, Colombia. Profesional en Administración de Negocios Internacionales por la Universidad</w:t>
      </w:r>
      <w:r w:rsidR="000F41B5" w:rsidRPr="0014344A">
        <w:rPr>
          <w:rFonts w:ascii="Times New Roman" w:hAnsi="Times New Roman" w:cs="Times New Roman"/>
          <w:lang w:val="es-ES"/>
        </w:rPr>
        <w:t xml:space="preserve"> Mariana</w:t>
      </w:r>
      <w:r w:rsidR="000F41B5">
        <w:rPr>
          <w:rFonts w:ascii="Times New Roman" w:hAnsi="Times New Roman" w:cs="Times New Roman"/>
          <w:lang w:val="es-ES"/>
        </w:rPr>
        <w:t xml:space="preserve"> de Pasto</w:t>
      </w:r>
      <w:r w:rsidRPr="0014344A">
        <w:rPr>
          <w:rFonts w:ascii="Times New Roman" w:hAnsi="Times New Roman" w:cs="Times New Roman"/>
          <w:lang w:val="es-ES"/>
        </w:rPr>
        <w:t>, Colombia. Profesor en la Universidad Mariana</w:t>
      </w:r>
      <w:r w:rsidR="000F41B5">
        <w:rPr>
          <w:rFonts w:ascii="Times New Roman" w:hAnsi="Times New Roman" w:cs="Times New Roman"/>
          <w:lang w:val="es-ES"/>
        </w:rPr>
        <w:t xml:space="preserve"> de Pasto</w:t>
      </w:r>
      <w:r w:rsidRPr="0014344A">
        <w:rPr>
          <w:rFonts w:ascii="Times New Roman" w:hAnsi="Times New Roman" w:cs="Times New Roman"/>
          <w:lang w:val="es-ES"/>
        </w:rPr>
        <w:t>, Colombia. Email: magomez@umariana.edu.co</w:t>
      </w:r>
    </w:p>
  </w:footnote>
  <w:footnote w:id="3">
    <w:p w14:paraId="75CC5134" w14:textId="17E77698" w:rsidR="000F41B5" w:rsidRPr="000F41B5" w:rsidRDefault="00FD5602" w:rsidP="000F41B5">
      <w:pPr>
        <w:pStyle w:val="Textonotapie"/>
        <w:rPr>
          <w:rFonts w:ascii="Times New Roman" w:hAnsi="Times New Roman" w:cs="Times New Roman"/>
          <w:lang w:val="es-ES"/>
        </w:rPr>
      </w:pPr>
      <w:r w:rsidRPr="0014344A">
        <w:rPr>
          <w:rStyle w:val="Refdenotaalpie"/>
          <w:rFonts w:ascii="Times New Roman" w:hAnsi="Times New Roman" w:cs="Times New Roman"/>
        </w:rPr>
        <w:t>***</w:t>
      </w:r>
      <w:r w:rsidRPr="0014344A">
        <w:rPr>
          <w:rFonts w:ascii="Times New Roman" w:hAnsi="Times New Roman" w:cs="Times New Roman"/>
        </w:rPr>
        <w:t xml:space="preserve"> </w:t>
      </w:r>
      <w:r w:rsidR="000F41B5" w:rsidRPr="000F41B5">
        <w:rPr>
          <w:rFonts w:ascii="Times New Roman" w:hAnsi="Times New Roman" w:cs="Times New Roman"/>
          <w:lang w:val="es-ES"/>
        </w:rPr>
        <w:t>Estudiante del programa de administración de Negocios internacionales por la Universidad Mariana</w:t>
      </w:r>
      <w:r w:rsidR="000F41B5">
        <w:rPr>
          <w:rFonts w:ascii="Times New Roman" w:hAnsi="Times New Roman" w:cs="Times New Roman"/>
          <w:lang w:val="es-ES"/>
        </w:rPr>
        <w:t xml:space="preserve"> de Pasto</w:t>
      </w:r>
      <w:r w:rsidR="000F41B5" w:rsidRPr="000F41B5">
        <w:rPr>
          <w:rFonts w:ascii="Times New Roman" w:hAnsi="Times New Roman" w:cs="Times New Roman"/>
          <w:lang w:val="es-ES"/>
        </w:rPr>
        <w:t>,</w:t>
      </w:r>
    </w:p>
    <w:p w14:paraId="0F7A33B0" w14:textId="2B267C4D" w:rsidR="00FD5602" w:rsidRPr="00FE63A2" w:rsidRDefault="000F41B5" w:rsidP="000F41B5">
      <w:pPr>
        <w:pStyle w:val="Textonotapie"/>
        <w:rPr>
          <w:rFonts w:ascii="Times New Roman" w:hAnsi="Times New Roman" w:cs="Times New Roman"/>
          <w:lang w:val="en-US"/>
        </w:rPr>
      </w:pPr>
      <w:r w:rsidRPr="000F41B5">
        <w:rPr>
          <w:rFonts w:ascii="Times New Roman" w:hAnsi="Times New Roman" w:cs="Times New Roman"/>
          <w:lang w:val="es-ES"/>
        </w:rPr>
        <w:t xml:space="preserve">Colombia. </w:t>
      </w:r>
      <w:proofErr w:type="spellStart"/>
      <w:r w:rsidRPr="000F41B5">
        <w:rPr>
          <w:rFonts w:ascii="Times New Roman" w:hAnsi="Times New Roman" w:cs="Times New Roman"/>
          <w:lang w:val="es-ES"/>
        </w:rPr>
        <w:t>Orcid</w:t>
      </w:r>
      <w:proofErr w:type="spellEnd"/>
      <w:r w:rsidRPr="000F41B5">
        <w:rPr>
          <w:rFonts w:ascii="Times New Roman" w:hAnsi="Times New Roman" w:cs="Times New Roman"/>
          <w:lang w:val="es-ES"/>
        </w:rPr>
        <w:t xml:space="preserve">: https://orcid.org/0009-0001-0304-6130. </w:t>
      </w:r>
      <w:r w:rsidRPr="00FE63A2">
        <w:rPr>
          <w:rFonts w:ascii="Times New Roman" w:hAnsi="Times New Roman" w:cs="Times New Roman"/>
          <w:lang w:val="en-US"/>
        </w:rPr>
        <w:t>Email: karlagi.benavides@umariana.edu.co</w:t>
      </w:r>
    </w:p>
  </w:footnote>
  <w:footnote w:id="4">
    <w:p w14:paraId="74B69721" w14:textId="1AA11213" w:rsidR="00FD5602" w:rsidRPr="0014344A" w:rsidRDefault="00FD5602">
      <w:pPr>
        <w:pStyle w:val="Textonotapie"/>
        <w:rPr>
          <w:rFonts w:ascii="Times New Roman" w:hAnsi="Times New Roman" w:cs="Times New Roman"/>
          <w:lang w:val="es-ES"/>
        </w:rPr>
      </w:pPr>
      <w:r w:rsidRPr="0014344A">
        <w:rPr>
          <w:rStyle w:val="Refdenotaalpie"/>
          <w:rFonts w:ascii="Times New Roman" w:hAnsi="Times New Roman" w:cs="Times New Roman"/>
        </w:rPr>
        <w:t>****</w:t>
      </w:r>
      <w:r w:rsidRPr="0014344A">
        <w:rPr>
          <w:rFonts w:ascii="Times New Roman" w:hAnsi="Times New Roman" w:cs="Times New Roman"/>
        </w:rPr>
        <w:t xml:space="preserve"> </w:t>
      </w:r>
      <w:r w:rsidRPr="0014344A">
        <w:rPr>
          <w:rFonts w:ascii="Times New Roman" w:hAnsi="Times New Roman" w:cs="Times New Roman"/>
          <w:lang w:val="es-ES"/>
        </w:rPr>
        <w:t>Magíster en Gestión Empresarial</w:t>
      </w:r>
      <w:r w:rsidR="00557A0E" w:rsidRPr="0014344A">
        <w:rPr>
          <w:rFonts w:ascii="Times New Roman" w:hAnsi="Times New Roman" w:cs="Times New Roman"/>
          <w:lang w:val="es-ES"/>
        </w:rPr>
        <w:t xml:space="preserve"> por la Universidad</w:t>
      </w:r>
      <w:r w:rsidR="000F41B5" w:rsidRPr="0014344A">
        <w:rPr>
          <w:rFonts w:ascii="Times New Roman" w:hAnsi="Times New Roman" w:cs="Times New Roman"/>
          <w:lang w:val="es-ES"/>
        </w:rPr>
        <w:t xml:space="preserve"> Libre</w:t>
      </w:r>
      <w:r w:rsidR="00B5165A">
        <w:rPr>
          <w:rFonts w:ascii="Times New Roman" w:hAnsi="Times New Roman" w:cs="Times New Roman"/>
          <w:lang w:val="es-ES"/>
        </w:rPr>
        <w:t xml:space="preserve"> de Cali</w:t>
      </w:r>
      <w:r w:rsidR="00557A0E" w:rsidRPr="0014344A">
        <w:rPr>
          <w:rFonts w:ascii="Times New Roman" w:hAnsi="Times New Roman" w:cs="Times New Roman"/>
          <w:lang w:val="es-ES"/>
        </w:rPr>
        <w:t xml:space="preserve">, Colombia. </w:t>
      </w:r>
      <w:r w:rsidRPr="0014344A">
        <w:rPr>
          <w:rFonts w:ascii="Times New Roman" w:hAnsi="Times New Roman" w:cs="Times New Roman"/>
          <w:lang w:val="es-ES"/>
        </w:rPr>
        <w:t>Economista</w:t>
      </w:r>
      <w:r w:rsidR="00557A0E" w:rsidRPr="0014344A">
        <w:rPr>
          <w:rFonts w:ascii="Times New Roman" w:hAnsi="Times New Roman" w:cs="Times New Roman"/>
          <w:lang w:val="es-ES"/>
        </w:rPr>
        <w:t xml:space="preserve"> por la Universidad</w:t>
      </w:r>
      <w:r w:rsidR="000F41B5" w:rsidRPr="0014344A">
        <w:rPr>
          <w:rFonts w:ascii="Times New Roman" w:hAnsi="Times New Roman" w:cs="Times New Roman"/>
          <w:lang w:val="es-ES"/>
        </w:rPr>
        <w:t xml:space="preserve"> de Nariño</w:t>
      </w:r>
      <w:r w:rsidR="00B5165A">
        <w:rPr>
          <w:rFonts w:ascii="Times New Roman" w:hAnsi="Times New Roman" w:cs="Times New Roman"/>
          <w:lang w:val="es-ES"/>
        </w:rPr>
        <w:t xml:space="preserve"> de Pasto</w:t>
      </w:r>
      <w:r w:rsidR="00557A0E" w:rsidRPr="0014344A">
        <w:rPr>
          <w:rFonts w:ascii="Times New Roman" w:hAnsi="Times New Roman" w:cs="Times New Roman"/>
          <w:lang w:val="es-ES"/>
        </w:rPr>
        <w:t xml:space="preserve">, Colombia. Profesor en la </w:t>
      </w:r>
      <w:r w:rsidRPr="0014344A">
        <w:rPr>
          <w:rFonts w:ascii="Times New Roman" w:hAnsi="Times New Roman" w:cs="Times New Roman"/>
          <w:lang w:val="es-ES"/>
        </w:rPr>
        <w:t>Universidad Mariana</w:t>
      </w:r>
      <w:r w:rsidR="00557A0E" w:rsidRPr="0014344A">
        <w:rPr>
          <w:rFonts w:ascii="Times New Roman" w:hAnsi="Times New Roman" w:cs="Times New Roman"/>
          <w:lang w:val="es-ES"/>
        </w:rPr>
        <w:t>, Colombia</w:t>
      </w:r>
      <w:r w:rsidRPr="0014344A">
        <w:rPr>
          <w:rFonts w:ascii="Times New Roman" w:hAnsi="Times New Roman" w:cs="Times New Roman"/>
          <w:lang w:val="es-ES"/>
        </w:rPr>
        <w:t>. Email: vlopez@umariana.edu.co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69BBE" w14:textId="56F29D72" w:rsidR="00697390" w:rsidRPr="00BB26DD" w:rsidRDefault="00AC1EEA" w:rsidP="00AC1EEA">
    <w:pPr>
      <w:pStyle w:val="Encabezado"/>
    </w:pPr>
    <w:r w:rsidRPr="00AC1EEA">
      <w:rPr>
        <w:rFonts w:ascii="Times New Roman" w:hAnsi="Times New Roman" w:cs="Times New Roman"/>
        <w:sz w:val="20"/>
        <w:szCs w:val="20"/>
        <w:lang w:val="es-ES"/>
      </w:rPr>
      <w:t>Relación entre el Ciclo de Caja de Efectivo y la Rentabilidad en las grandes empresas del sector comercio en Colombia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FF6CC" w14:textId="52757D80" w:rsidR="00697390" w:rsidRPr="006F3695" w:rsidRDefault="00697390" w:rsidP="00155333">
    <w:pPr>
      <w:pStyle w:val="Encabezado"/>
      <w:jc w:val="right"/>
      <w:rPr>
        <w:rFonts w:ascii="Times New Roman" w:hAnsi="Times New Roman" w:cs="Times New Roman"/>
        <w:sz w:val="20"/>
        <w:szCs w:val="20"/>
      </w:rPr>
    </w:pPr>
    <w:r>
      <w:rPr>
        <w:rFonts w:ascii="Times New Roman" w:hAnsi="Times New Roman" w:cs="Times New Roman"/>
        <w:sz w:val="20"/>
        <w:szCs w:val="20"/>
      </w:rPr>
      <w:t xml:space="preserve">Miguel </w:t>
    </w:r>
    <w:r w:rsidR="00A630DC">
      <w:rPr>
        <w:rFonts w:ascii="Times New Roman" w:hAnsi="Times New Roman" w:cs="Times New Roman"/>
        <w:sz w:val="20"/>
        <w:szCs w:val="20"/>
      </w:rPr>
      <w:t>Ángel</w:t>
    </w:r>
    <w:r>
      <w:rPr>
        <w:rFonts w:ascii="Times New Roman" w:hAnsi="Times New Roman" w:cs="Times New Roman"/>
        <w:sz w:val="20"/>
        <w:szCs w:val="20"/>
      </w:rPr>
      <w:t xml:space="preserve"> Gómez-Chaves, </w:t>
    </w:r>
    <w:r w:rsidRPr="00BB26DD">
      <w:rPr>
        <w:rFonts w:ascii="Times New Roman" w:hAnsi="Times New Roman" w:cs="Times New Roman"/>
        <w:sz w:val="20"/>
        <w:szCs w:val="20"/>
      </w:rPr>
      <w:t xml:space="preserve">Karla Giovanna </w:t>
    </w:r>
    <w:r>
      <w:rPr>
        <w:rFonts w:ascii="Times New Roman" w:hAnsi="Times New Roman" w:cs="Times New Roman"/>
        <w:sz w:val="20"/>
        <w:szCs w:val="20"/>
      </w:rPr>
      <w:t>Benavidez-Chamorro &amp; Víctor Hugo López-Díaz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40B2D" w14:textId="77777777" w:rsidR="00697390" w:rsidRPr="000C3A17" w:rsidRDefault="00697390" w:rsidP="000C3A17">
    <w:pPr>
      <w:pStyle w:val="Encabezado"/>
      <w:rPr>
        <w:rFonts w:ascii="Times New Roman" w:hAnsi="Times New Roman"/>
        <w:b/>
        <w:bCs/>
        <w:sz w:val="22"/>
        <w:lang w:val="es-ES"/>
      </w:rPr>
    </w:pPr>
    <w:r w:rsidRPr="000C3A17">
      <w:rPr>
        <w:rFonts w:ascii="Times New Roman" w:hAnsi="Times New Roman"/>
        <w:b/>
        <w:bCs/>
        <w:noProof/>
        <w:sz w:val="22"/>
        <w:lang w:eastAsia="es-CO"/>
      </w:rPr>
      <w:drawing>
        <wp:anchor distT="0" distB="0" distL="114300" distR="114300" simplePos="0" relativeHeight="251659264" behindDoc="0" locked="0" layoutInCell="1" allowOverlap="1" wp14:anchorId="1B867450" wp14:editId="1028EEFE">
          <wp:simplePos x="0" y="0"/>
          <wp:positionH relativeFrom="margin">
            <wp:posOffset>4142740</wp:posOffset>
          </wp:positionH>
          <wp:positionV relativeFrom="paragraph">
            <wp:posOffset>-36195</wp:posOffset>
          </wp:positionV>
          <wp:extent cx="1590675" cy="684530"/>
          <wp:effectExtent l="0" t="0" r="9525" b="1270"/>
          <wp:wrapThrough wrapText="bothSides">
            <wp:wrapPolygon edited="0">
              <wp:start x="0" y="0"/>
              <wp:lineTo x="0" y="21039"/>
              <wp:lineTo x="21471" y="21039"/>
              <wp:lineTo x="2147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84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3A17">
      <w:rPr>
        <w:rFonts w:ascii="Times New Roman" w:hAnsi="Times New Roman"/>
        <w:b/>
        <w:bCs/>
        <w:sz w:val="22"/>
        <w:lang w:val="es-ES"/>
      </w:rPr>
      <w:t>Revista Gestión y Desarrollo Libre</w:t>
    </w:r>
  </w:p>
  <w:p w14:paraId="25CD2A91" w14:textId="6357A83A" w:rsidR="00A04F98" w:rsidRDefault="00A04F98" w:rsidP="000C3A17">
    <w:pPr>
      <w:pStyle w:val="Encabezado"/>
      <w:rPr>
        <w:rFonts w:ascii="Times New Roman" w:hAnsi="Times New Roman"/>
        <w:b/>
        <w:bCs/>
        <w:sz w:val="22"/>
        <w:lang w:val="es-ES"/>
      </w:rPr>
    </w:pPr>
    <w:bookmarkStart w:id="7" w:name="_Hlk143699805"/>
    <w:r w:rsidRPr="00A04F98">
      <w:rPr>
        <w:rFonts w:ascii="Times New Roman" w:hAnsi="Times New Roman"/>
        <w:b/>
        <w:bCs/>
        <w:sz w:val="22"/>
        <w:lang w:val="es-ES"/>
      </w:rPr>
      <w:t>Año 9, N° 17, enero-junio 2024, pp. 1-1</w:t>
    </w:r>
    <w:r>
      <w:rPr>
        <w:rFonts w:ascii="Times New Roman" w:hAnsi="Times New Roman"/>
        <w:b/>
        <w:bCs/>
        <w:sz w:val="22"/>
        <w:lang w:val="es-ES"/>
      </w:rPr>
      <w:t>4</w:t>
    </w:r>
  </w:p>
  <w:bookmarkEnd w:id="7"/>
  <w:p w14:paraId="22436E17" w14:textId="77777777" w:rsidR="00697390" w:rsidRPr="000C3A17" w:rsidRDefault="00697390" w:rsidP="000C3A17">
    <w:pPr>
      <w:pStyle w:val="Encabezado"/>
      <w:rPr>
        <w:rFonts w:ascii="Times New Roman" w:hAnsi="Times New Roman"/>
        <w:b/>
        <w:bCs/>
        <w:sz w:val="22"/>
        <w:lang w:val="en-US"/>
      </w:rPr>
    </w:pPr>
    <w:r w:rsidRPr="000C3A17">
      <w:rPr>
        <w:rFonts w:ascii="Times New Roman" w:hAnsi="Times New Roman"/>
        <w:b/>
        <w:bCs/>
        <w:sz w:val="22"/>
        <w:lang w:val="en-US"/>
      </w:rPr>
      <w:t>ISSN 2539-3669</w:t>
    </w:r>
  </w:p>
  <w:p w14:paraId="17E6B5FE" w14:textId="78C70692" w:rsidR="00697390" w:rsidRPr="000C3A17" w:rsidRDefault="00697390" w:rsidP="00433F0B">
    <w:pPr>
      <w:pStyle w:val="Encabezado"/>
      <w:rPr>
        <w:rFonts w:ascii="Times New Roman" w:hAnsi="Times New Roman" w:cs="Times New Roman"/>
        <w:b/>
        <w:bCs/>
        <w:sz w:val="22"/>
        <w:lang w:val="en-US"/>
      </w:rPr>
    </w:pPr>
    <w:r w:rsidRPr="0014344A">
      <w:rPr>
        <w:rFonts w:ascii="Times New Roman" w:hAnsi="Times New Roman"/>
        <w:b/>
        <w:bCs/>
        <w:sz w:val="22"/>
        <w:lang w:val="en-US"/>
      </w:rPr>
      <w:t>https://doi.org/10.18041/2539-3669/gestionlibre.18.2024.11781</w:t>
    </w:r>
  </w:p>
  <w:p w14:paraId="2CB578DB" w14:textId="77777777" w:rsidR="00697390" w:rsidRPr="000C3A17" w:rsidRDefault="00697390">
    <w:pPr>
      <w:pStyle w:val="Encabezado"/>
      <w:rPr>
        <w:rFonts w:ascii="Times New Roman" w:hAnsi="Times New Roman" w:cs="Times New Roman"/>
        <w:b/>
        <w:bCs/>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4106"/>
    <w:multiLevelType w:val="hybridMultilevel"/>
    <w:tmpl w:val="988E254A"/>
    <w:styleLink w:val="EstiloImportado4"/>
    <w:lvl w:ilvl="0" w:tplc="E9AAE78A">
      <w:start w:val="1"/>
      <w:numFmt w:val="lowerLetter"/>
      <w:lvlText w:val="(%1)"/>
      <w:lvlJc w:val="left"/>
      <w:pPr>
        <w:tabs>
          <w:tab w:val="left" w:pos="567"/>
        </w:tabs>
        <w:ind w:left="99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41AE650">
      <w:start w:val="1"/>
      <w:numFmt w:val="lowerLetter"/>
      <w:lvlText w:val="%2."/>
      <w:lvlJc w:val="left"/>
      <w:pPr>
        <w:tabs>
          <w:tab w:val="left" w:pos="567"/>
        </w:tabs>
        <w:ind w:left="171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90C8FFC">
      <w:start w:val="1"/>
      <w:numFmt w:val="lowerRoman"/>
      <w:lvlText w:val="%3."/>
      <w:lvlJc w:val="left"/>
      <w:pPr>
        <w:tabs>
          <w:tab w:val="left" w:pos="567"/>
        </w:tabs>
        <w:ind w:left="2433"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A8C6646">
      <w:start w:val="1"/>
      <w:numFmt w:val="decimal"/>
      <w:lvlText w:val="%4."/>
      <w:lvlJc w:val="left"/>
      <w:pPr>
        <w:tabs>
          <w:tab w:val="left" w:pos="567"/>
        </w:tabs>
        <w:ind w:left="315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18C1F48">
      <w:start w:val="1"/>
      <w:numFmt w:val="lowerLetter"/>
      <w:lvlText w:val="%5."/>
      <w:lvlJc w:val="left"/>
      <w:pPr>
        <w:tabs>
          <w:tab w:val="left" w:pos="567"/>
        </w:tabs>
        <w:ind w:left="387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084942">
      <w:start w:val="1"/>
      <w:numFmt w:val="lowerRoman"/>
      <w:lvlText w:val="%6."/>
      <w:lvlJc w:val="left"/>
      <w:pPr>
        <w:tabs>
          <w:tab w:val="left" w:pos="567"/>
        </w:tabs>
        <w:ind w:left="4593"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21C0B18">
      <w:start w:val="1"/>
      <w:numFmt w:val="decimal"/>
      <w:lvlText w:val="%7."/>
      <w:lvlJc w:val="left"/>
      <w:pPr>
        <w:tabs>
          <w:tab w:val="left" w:pos="567"/>
        </w:tabs>
        <w:ind w:left="531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5A272A">
      <w:start w:val="1"/>
      <w:numFmt w:val="lowerLetter"/>
      <w:lvlText w:val="%8."/>
      <w:lvlJc w:val="left"/>
      <w:pPr>
        <w:tabs>
          <w:tab w:val="left" w:pos="567"/>
        </w:tabs>
        <w:ind w:left="6033"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28AC240">
      <w:start w:val="1"/>
      <w:numFmt w:val="lowerRoman"/>
      <w:lvlText w:val="%9."/>
      <w:lvlJc w:val="left"/>
      <w:pPr>
        <w:tabs>
          <w:tab w:val="left" w:pos="567"/>
        </w:tabs>
        <w:ind w:left="6753" w:hanging="36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AE2704"/>
    <w:multiLevelType w:val="hybridMultilevel"/>
    <w:tmpl w:val="04965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123722"/>
    <w:multiLevelType w:val="hybridMultilevel"/>
    <w:tmpl w:val="84DEC6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ECA6DF8"/>
    <w:multiLevelType w:val="hybridMultilevel"/>
    <w:tmpl w:val="C596C6A2"/>
    <w:lvl w:ilvl="0" w:tplc="57421BBA">
      <w:start w:val="5"/>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2721D26"/>
    <w:multiLevelType w:val="hybridMultilevel"/>
    <w:tmpl w:val="D1C02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5F3797"/>
    <w:multiLevelType w:val="hybridMultilevel"/>
    <w:tmpl w:val="CD90AF10"/>
    <w:styleLink w:val="EstiloImportado1"/>
    <w:lvl w:ilvl="0" w:tplc="69CC50D8">
      <w:start w:val="1"/>
      <w:numFmt w:val="lowerRoman"/>
      <w:lvlText w:val="(%1)"/>
      <w:lvlJc w:val="left"/>
      <w:pPr>
        <w:tabs>
          <w:tab w:val="num" w:pos="1416"/>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D7F43542">
      <w:start w:val="1"/>
      <w:numFmt w:val="lowerLetter"/>
      <w:lvlText w:val="%2."/>
      <w:lvlJc w:val="left"/>
      <w:pPr>
        <w:tabs>
          <w:tab w:val="num" w:pos="1776"/>
        </w:tabs>
        <w:ind w:left="144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93AE1F8A">
      <w:start w:val="1"/>
      <w:numFmt w:val="lowerRoman"/>
      <w:lvlText w:val="%3."/>
      <w:lvlJc w:val="left"/>
      <w:pPr>
        <w:tabs>
          <w:tab w:val="num" w:pos="2496"/>
        </w:tabs>
        <w:ind w:left="2160" w:firstLine="84"/>
      </w:pPr>
      <w:rPr>
        <w:rFonts w:hAnsi="Arial Unicode MS"/>
        <w:caps w:val="0"/>
        <w:smallCaps w:val="0"/>
        <w:strike w:val="0"/>
        <w:dstrike w:val="0"/>
        <w:outline w:val="0"/>
        <w:emboss w:val="0"/>
        <w:imprint w:val="0"/>
        <w:spacing w:val="0"/>
        <w:w w:val="100"/>
        <w:kern w:val="0"/>
        <w:position w:val="0"/>
        <w:highlight w:val="none"/>
        <w:vertAlign w:val="baseline"/>
      </w:rPr>
    </w:lvl>
    <w:lvl w:ilvl="3" w:tplc="62AA68FA">
      <w:start w:val="1"/>
      <w:numFmt w:val="decimal"/>
      <w:lvlText w:val="%4."/>
      <w:lvlJc w:val="left"/>
      <w:pPr>
        <w:tabs>
          <w:tab w:val="num" w:pos="3216"/>
        </w:tabs>
        <w:ind w:left="288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9C8AD9AA">
      <w:start w:val="1"/>
      <w:numFmt w:val="lowerLetter"/>
      <w:lvlText w:val="%5."/>
      <w:lvlJc w:val="left"/>
      <w:pPr>
        <w:tabs>
          <w:tab w:val="num" w:pos="3936"/>
        </w:tabs>
        <w:ind w:left="360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F33A847A">
      <w:start w:val="1"/>
      <w:numFmt w:val="lowerRoman"/>
      <w:lvlText w:val="%6."/>
      <w:lvlJc w:val="left"/>
      <w:pPr>
        <w:tabs>
          <w:tab w:val="num" w:pos="4656"/>
        </w:tabs>
        <w:ind w:left="4320" w:firstLine="120"/>
      </w:pPr>
      <w:rPr>
        <w:rFonts w:hAnsi="Arial Unicode MS"/>
        <w:caps w:val="0"/>
        <w:smallCaps w:val="0"/>
        <w:strike w:val="0"/>
        <w:dstrike w:val="0"/>
        <w:outline w:val="0"/>
        <w:emboss w:val="0"/>
        <w:imprint w:val="0"/>
        <w:spacing w:val="0"/>
        <w:w w:val="100"/>
        <w:kern w:val="0"/>
        <w:position w:val="0"/>
        <w:highlight w:val="none"/>
        <w:vertAlign w:val="baseline"/>
      </w:rPr>
    </w:lvl>
    <w:lvl w:ilvl="6" w:tplc="D50E28F0">
      <w:start w:val="1"/>
      <w:numFmt w:val="decimal"/>
      <w:lvlText w:val="%7."/>
      <w:lvlJc w:val="left"/>
      <w:pPr>
        <w:tabs>
          <w:tab w:val="num" w:pos="5376"/>
        </w:tabs>
        <w:ind w:left="504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FE98AB48">
      <w:start w:val="1"/>
      <w:numFmt w:val="lowerLetter"/>
      <w:lvlText w:val="%8."/>
      <w:lvlJc w:val="left"/>
      <w:pPr>
        <w:tabs>
          <w:tab w:val="num" w:pos="6096"/>
        </w:tabs>
        <w:ind w:left="576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59929AB4">
      <w:start w:val="1"/>
      <w:numFmt w:val="lowerRoman"/>
      <w:suff w:val="nothing"/>
      <w:lvlText w:val="%9."/>
      <w:lvlJc w:val="left"/>
      <w:pPr>
        <w:ind w:left="6480" w:firstLine="1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49F7BC6"/>
    <w:multiLevelType w:val="multilevel"/>
    <w:tmpl w:val="6730F9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4B2968"/>
    <w:multiLevelType w:val="hybridMultilevel"/>
    <w:tmpl w:val="47806D5E"/>
    <w:styleLink w:val="EstiloImportado3"/>
    <w:lvl w:ilvl="0" w:tplc="155AA540">
      <w:start w:val="1"/>
      <w:numFmt w:val="lowerLetter"/>
      <w:lvlText w:val="(%1)"/>
      <w:lvlJc w:val="left"/>
      <w:pPr>
        <w:tabs>
          <w:tab w:val="left" w:pos="567"/>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43AE534">
      <w:start w:val="1"/>
      <w:numFmt w:val="lowerLetter"/>
      <w:lvlText w:val="(%2)"/>
      <w:lvlJc w:val="left"/>
      <w:pPr>
        <w:tabs>
          <w:tab w:val="left" w:pos="567"/>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8260AB8">
      <w:start w:val="1"/>
      <w:numFmt w:val="lowerLetter"/>
      <w:lvlText w:val="(%3)"/>
      <w:lvlJc w:val="left"/>
      <w:pPr>
        <w:tabs>
          <w:tab w:val="left" w:pos="567"/>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88C2DB9C">
      <w:start w:val="1"/>
      <w:numFmt w:val="lowerLetter"/>
      <w:lvlText w:val="(%4)"/>
      <w:lvlJc w:val="left"/>
      <w:pPr>
        <w:tabs>
          <w:tab w:val="left" w:pos="567"/>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2C1DA0">
      <w:start w:val="1"/>
      <w:numFmt w:val="lowerLetter"/>
      <w:lvlText w:val="(%5)"/>
      <w:lvlJc w:val="left"/>
      <w:pPr>
        <w:tabs>
          <w:tab w:val="left" w:pos="567"/>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62F15E">
      <w:start w:val="1"/>
      <w:numFmt w:val="lowerLetter"/>
      <w:lvlText w:val="(%6)"/>
      <w:lvlJc w:val="left"/>
      <w:pPr>
        <w:tabs>
          <w:tab w:val="left" w:pos="567"/>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43965E76">
      <w:start w:val="1"/>
      <w:numFmt w:val="lowerLetter"/>
      <w:lvlText w:val="(%7)"/>
      <w:lvlJc w:val="left"/>
      <w:pPr>
        <w:tabs>
          <w:tab w:val="left" w:pos="567"/>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2346F22">
      <w:start w:val="1"/>
      <w:numFmt w:val="lowerLetter"/>
      <w:lvlText w:val="(%8)"/>
      <w:lvlJc w:val="left"/>
      <w:pPr>
        <w:tabs>
          <w:tab w:val="left" w:pos="567"/>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D81CCA">
      <w:start w:val="1"/>
      <w:numFmt w:val="lowerLetter"/>
      <w:lvlText w:val="(%9)"/>
      <w:lvlJc w:val="left"/>
      <w:pPr>
        <w:tabs>
          <w:tab w:val="left" w:pos="567"/>
        </w:tabs>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C9D1BA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0B5088"/>
    <w:multiLevelType w:val="hybridMultilevel"/>
    <w:tmpl w:val="7C44C6C8"/>
    <w:styleLink w:val="EstiloImportado6"/>
    <w:lvl w:ilvl="0" w:tplc="A25640C4">
      <w:start w:val="1"/>
      <w:numFmt w:val="lowerLetter"/>
      <w:lvlText w:val="(%1)"/>
      <w:lvlJc w:val="left"/>
      <w:pPr>
        <w:tabs>
          <w:tab w:val="left" w:pos="567"/>
          <w:tab w:val="left" w:pos="8565"/>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3A9C">
      <w:start w:val="1"/>
      <w:numFmt w:val="lowerLetter"/>
      <w:lvlText w:val="%2."/>
      <w:lvlJc w:val="left"/>
      <w:pPr>
        <w:tabs>
          <w:tab w:val="left" w:pos="567"/>
          <w:tab w:val="left" w:pos="8565"/>
        </w:tabs>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2A22FF4">
      <w:start w:val="1"/>
      <w:numFmt w:val="lowerRoman"/>
      <w:lvlText w:val="%3."/>
      <w:lvlJc w:val="left"/>
      <w:pPr>
        <w:tabs>
          <w:tab w:val="left" w:pos="567"/>
          <w:tab w:val="left" w:pos="8565"/>
        </w:tabs>
        <w:ind w:left="2433"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2F80ABE4">
      <w:start w:val="1"/>
      <w:numFmt w:val="decimal"/>
      <w:lvlText w:val="%4."/>
      <w:lvlJc w:val="left"/>
      <w:pPr>
        <w:tabs>
          <w:tab w:val="left" w:pos="567"/>
          <w:tab w:val="left" w:pos="8565"/>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48C058A">
      <w:start w:val="1"/>
      <w:numFmt w:val="lowerLetter"/>
      <w:lvlText w:val="%5."/>
      <w:lvlJc w:val="left"/>
      <w:pPr>
        <w:tabs>
          <w:tab w:val="left" w:pos="567"/>
          <w:tab w:val="left" w:pos="8565"/>
        </w:tabs>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EE8EAF6">
      <w:start w:val="1"/>
      <w:numFmt w:val="lowerRoman"/>
      <w:lvlText w:val="%6."/>
      <w:lvlJc w:val="left"/>
      <w:pPr>
        <w:tabs>
          <w:tab w:val="left" w:pos="567"/>
          <w:tab w:val="left" w:pos="8565"/>
        </w:tabs>
        <w:ind w:left="4593"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8CFC10F2">
      <w:start w:val="1"/>
      <w:numFmt w:val="decimal"/>
      <w:lvlText w:val="%7."/>
      <w:lvlJc w:val="left"/>
      <w:pPr>
        <w:tabs>
          <w:tab w:val="left" w:pos="567"/>
          <w:tab w:val="left" w:pos="8565"/>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D6A1154">
      <w:start w:val="1"/>
      <w:numFmt w:val="lowerLetter"/>
      <w:lvlText w:val="%8."/>
      <w:lvlJc w:val="left"/>
      <w:pPr>
        <w:tabs>
          <w:tab w:val="left" w:pos="567"/>
          <w:tab w:val="left" w:pos="8565"/>
        </w:tabs>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2E4598">
      <w:start w:val="1"/>
      <w:numFmt w:val="lowerRoman"/>
      <w:lvlText w:val="%9."/>
      <w:lvlJc w:val="left"/>
      <w:pPr>
        <w:tabs>
          <w:tab w:val="left" w:pos="567"/>
          <w:tab w:val="left" w:pos="8565"/>
        </w:tabs>
        <w:ind w:left="6753"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91C07B4"/>
    <w:multiLevelType w:val="hybridMultilevel"/>
    <w:tmpl w:val="815AF686"/>
    <w:styleLink w:val="EstiloImportado8"/>
    <w:lvl w:ilvl="0" w:tplc="1E725638">
      <w:start w:val="1"/>
      <w:numFmt w:val="lowerLetter"/>
      <w:lvlText w:val="(%1)"/>
      <w:lvlJc w:val="left"/>
      <w:pPr>
        <w:tabs>
          <w:tab w:val="left" w:pos="567"/>
          <w:tab w:val="left" w:pos="8565"/>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DDC98A6">
      <w:start w:val="1"/>
      <w:numFmt w:val="lowerLetter"/>
      <w:lvlText w:val="%2."/>
      <w:lvlJc w:val="left"/>
      <w:pPr>
        <w:tabs>
          <w:tab w:val="left" w:pos="567"/>
          <w:tab w:val="left" w:pos="8565"/>
        </w:tabs>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DE04D4">
      <w:start w:val="1"/>
      <w:numFmt w:val="lowerRoman"/>
      <w:lvlText w:val="%3."/>
      <w:lvlJc w:val="left"/>
      <w:pPr>
        <w:tabs>
          <w:tab w:val="left" w:pos="567"/>
          <w:tab w:val="left" w:pos="8565"/>
        </w:tabs>
        <w:ind w:left="2433"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B3540F64">
      <w:start w:val="1"/>
      <w:numFmt w:val="decimal"/>
      <w:lvlText w:val="%4."/>
      <w:lvlJc w:val="left"/>
      <w:pPr>
        <w:tabs>
          <w:tab w:val="left" w:pos="567"/>
          <w:tab w:val="left" w:pos="8565"/>
        </w:tabs>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0745BE6">
      <w:start w:val="1"/>
      <w:numFmt w:val="lowerLetter"/>
      <w:lvlText w:val="%5."/>
      <w:lvlJc w:val="left"/>
      <w:pPr>
        <w:tabs>
          <w:tab w:val="left" w:pos="567"/>
          <w:tab w:val="left" w:pos="8565"/>
        </w:tabs>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104ECAC">
      <w:start w:val="1"/>
      <w:numFmt w:val="lowerRoman"/>
      <w:lvlText w:val="%6."/>
      <w:lvlJc w:val="left"/>
      <w:pPr>
        <w:tabs>
          <w:tab w:val="left" w:pos="567"/>
          <w:tab w:val="left" w:pos="8565"/>
        </w:tabs>
        <w:ind w:left="4593"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18D2B394">
      <w:start w:val="1"/>
      <w:numFmt w:val="decimal"/>
      <w:lvlText w:val="%7."/>
      <w:lvlJc w:val="left"/>
      <w:pPr>
        <w:tabs>
          <w:tab w:val="left" w:pos="567"/>
          <w:tab w:val="left" w:pos="8565"/>
        </w:tabs>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FDA74C2">
      <w:start w:val="1"/>
      <w:numFmt w:val="lowerLetter"/>
      <w:lvlText w:val="%8."/>
      <w:lvlJc w:val="left"/>
      <w:pPr>
        <w:tabs>
          <w:tab w:val="left" w:pos="567"/>
          <w:tab w:val="left" w:pos="8565"/>
        </w:tabs>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ACACA3C">
      <w:start w:val="1"/>
      <w:numFmt w:val="lowerRoman"/>
      <w:lvlText w:val="%9."/>
      <w:lvlJc w:val="left"/>
      <w:pPr>
        <w:tabs>
          <w:tab w:val="left" w:pos="567"/>
          <w:tab w:val="left" w:pos="8565"/>
        </w:tabs>
        <w:ind w:left="6753" w:hanging="3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69030539">
    <w:abstractNumId w:val="7"/>
  </w:num>
  <w:num w:numId="2" w16cid:durableId="1974090641">
    <w:abstractNumId w:val="0"/>
  </w:num>
  <w:num w:numId="3" w16cid:durableId="394935635">
    <w:abstractNumId w:val="9"/>
  </w:num>
  <w:num w:numId="4" w16cid:durableId="1267498991">
    <w:abstractNumId w:val="10"/>
  </w:num>
  <w:num w:numId="5" w16cid:durableId="2048605531">
    <w:abstractNumId w:val="5"/>
  </w:num>
  <w:num w:numId="6" w16cid:durableId="689570048">
    <w:abstractNumId w:val="8"/>
  </w:num>
  <w:num w:numId="7" w16cid:durableId="417601670">
    <w:abstractNumId w:val="6"/>
  </w:num>
  <w:num w:numId="8" w16cid:durableId="1531064141">
    <w:abstractNumId w:val="3"/>
  </w:num>
  <w:num w:numId="9" w16cid:durableId="765268513">
    <w:abstractNumId w:val="1"/>
  </w:num>
  <w:num w:numId="10" w16cid:durableId="881526440">
    <w:abstractNumId w:val="4"/>
  </w:num>
  <w:num w:numId="11" w16cid:durableId="15888049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CO" w:vendorID="64" w:dllVersion="6" w:nlCheck="1" w:checkStyle="1"/>
  <w:activeWritingStyle w:appName="MSWord" w:lang="es-EC"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CO" w:vendorID="64" w:dllVersion="4096" w:nlCheck="1" w:checkStyle="0"/>
  <w:activeWritingStyle w:appName="MSWord" w:lang="es-VE"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VE" w:vendorID="64" w:dllVersion="6" w:nlCheck="1" w:checkStyle="1"/>
  <w:activeWritingStyle w:appName="MSWord" w:lang="es-MX" w:vendorID="64" w:dllVersion="6" w:nlCheck="1" w:checkStyle="0"/>
  <w:activeWritingStyle w:appName="MSWord" w:lang="es-ES" w:vendorID="64" w:dllVersion="0" w:nlCheck="1" w:checkStyle="0"/>
  <w:activeWritingStyle w:appName="MSWord" w:lang="es-CO" w:vendorID="64" w:dllVersion="0" w:nlCheck="1" w:checkStyle="0"/>
  <w:activeWritingStyle w:appName="MSWord" w:lang="es-419" w:vendorID="64" w:dllVersion="4096" w:nlCheck="1" w:checkStyle="0"/>
  <w:activeWritingStyle w:appName="MSWord" w:lang="es-MX" w:vendorID="64" w:dllVersion="4096" w:nlCheck="1" w:checkStyle="0"/>
  <w:activeWritingStyle w:appName="MSWord" w:lang="en-US" w:vendorID="64" w:dllVersion="0" w:nlCheck="1" w:checkStyle="0"/>
  <w:activeWritingStyle w:appName="MSWord" w:lang="es-419" w:vendorID="64" w:dllVersion="0" w:nlCheck="1" w:checkStyle="0"/>
  <w:activeWritingStyle w:appName="MSWord" w:lang="es-419" w:vendorID="64" w:dllVersion="6" w:nlCheck="1" w:checkStyle="1"/>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47C"/>
    <w:rsid w:val="000005A5"/>
    <w:rsid w:val="000007BE"/>
    <w:rsid w:val="0000141B"/>
    <w:rsid w:val="00001BE4"/>
    <w:rsid w:val="00002D10"/>
    <w:rsid w:val="000032ED"/>
    <w:rsid w:val="000061DA"/>
    <w:rsid w:val="00006EB4"/>
    <w:rsid w:val="00007DD5"/>
    <w:rsid w:val="00012F0D"/>
    <w:rsid w:val="0001346B"/>
    <w:rsid w:val="00013C8F"/>
    <w:rsid w:val="00015228"/>
    <w:rsid w:val="00015A24"/>
    <w:rsid w:val="00015BFF"/>
    <w:rsid w:val="00015D0D"/>
    <w:rsid w:val="000162D8"/>
    <w:rsid w:val="00016433"/>
    <w:rsid w:val="00016C22"/>
    <w:rsid w:val="00017369"/>
    <w:rsid w:val="000178DE"/>
    <w:rsid w:val="000204ED"/>
    <w:rsid w:val="0002246C"/>
    <w:rsid w:val="0002324E"/>
    <w:rsid w:val="00023610"/>
    <w:rsid w:val="00023E31"/>
    <w:rsid w:val="00024A20"/>
    <w:rsid w:val="00024DC5"/>
    <w:rsid w:val="0002560C"/>
    <w:rsid w:val="00027AF6"/>
    <w:rsid w:val="000315AB"/>
    <w:rsid w:val="00031FEF"/>
    <w:rsid w:val="00033FCA"/>
    <w:rsid w:val="00034FC4"/>
    <w:rsid w:val="000353B5"/>
    <w:rsid w:val="00035A8E"/>
    <w:rsid w:val="0003622F"/>
    <w:rsid w:val="00036307"/>
    <w:rsid w:val="000364F2"/>
    <w:rsid w:val="000418E6"/>
    <w:rsid w:val="00041FE6"/>
    <w:rsid w:val="0004472E"/>
    <w:rsid w:val="00044B45"/>
    <w:rsid w:val="000478A6"/>
    <w:rsid w:val="00047D3C"/>
    <w:rsid w:val="00050F97"/>
    <w:rsid w:val="00051E73"/>
    <w:rsid w:val="00052887"/>
    <w:rsid w:val="000545A4"/>
    <w:rsid w:val="00057232"/>
    <w:rsid w:val="00060325"/>
    <w:rsid w:val="00060644"/>
    <w:rsid w:val="000625B9"/>
    <w:rsid w:val="0006300A"/>
    <w:rsid w:val="0006609C"/>
    <w:rsid w:val="00067C9B"/>
    <w:rsid w:val="00072B62"/>
    <w:rsid w:val="00072D72"/>
    <w:rsid w:val="0007371F"/>
    <w:rsid w:val="00073E74"/>
    <w:rsid w:val="00076574"/>
    <w:rsid w:val="000768D9"/>
    <w:rsid w:val="00080F8A"/>
    <w:rsid w:val="000858CF"/>
    <w:rsid w:val="00086123"/>
    <w:rsid w:val="000869C3"/>
    <w:rsid w:val="00086F7C"/>
    <w:rsid w:val="00087D34"/>
    <w:rsid w:val="00091119"/>
    <w:rsid w:val="00091559"/>
    <w:rsid w:val="00092431"/>
    <w:rsid w:val="000925F9"/>
    <w:rsid w:val="00092FEF"/>
    <w:rsid w:val="00093202"/>
    <w:rsid w:val="00094504"/>
    <w:rsid w:val="0009458B"/>
    <w:rsid w:val="000948AA"/>
    <w:rsid w:val="00094B8D"/>
    <w:rsid w:val="00094C30"/>
    <w:rsid w:val="00096200"/>
    <w:rsid w:val="00096428"/>
    <w:rsid w:val="00097D23"/>
    <w:rsid w:val="000A0F6E"/>
    <w:rsid w:val="000A12BB"/>
    <w:rsid w:val="000A20BE"/>
    <w:rsid w:val="000A2159"/>
    <w:rsid w:val="000A429E"/>
    <w:rsid w:val="000A46E9"/>
    <w:rsid w:val="000A5A4E"/>
    <w:rsid w:val="000A646E"/>
    <w:rsid w:val="000A6A13"/>
    <w:rsid w:val="000A6AA0"/>
    <w:rsid w:val="000A6FCE"/>
    <w:rsid w:val="000A7122"/>
    <w:rsid w:val="000A7683"/>
    <w:rsid w:val="000A7B91"/>
    <w:rsid w:val="000B39EA"/>
    <w:rsid w:val="000B500B"/>
    <w:rsid w:val="000B63F4"/>
    <w:rsid w:val="000B663D"/>
    <w:rsid w:val="000B77F5"/>
    <w:rsid w:val="000C1A5B"/>
    <w:rsid w:val="000C25C3"/>
    <w:rsid w:val="000C3200"/>
    <w:rsid w:val="000C3629"/>
    <w:rsid w:val="000C3A17"/>
    <w:rsid w:val="000C678A"/>
    <w:rsid w:val="000C6A3D"/>
    <w:rsid w:val="000C7037"/>
    <w:rsid w:val="000C722F"/>
    <w:rsid w:val="000D0221"/>
    <w:rsid w:val="000D100F"/>
    <w:rsid w:val="000D112C"/>
    <w:rsid w:val="000D1AF3"/>
    <w:rsid w:val="000D1D96"/>
    <w:rsid w:val="000D20B5"/>
    <w:rsid w:val="000D5329"/>
    <w:rsid w:val="000D5964"/>
    <w:rsid w:val="000D5D9E"/>
    <w:rsid w:val="000D666E"/>
    <w:rsid w:val="000D7100"/>
    <w:rsid w:val="000E204E"/>
    <w:rsid w:val="000E2CB9"/>
    <w:rsid w:val="000E3991"/>
    <w:rsid w:val="000E5577"/>
    <w:rsid w:val="000E5A96"/>
    <w:rsid w:val="000E5B9D"/>
    <w:rsid w:val="000E6E48"/>
    <w:rsid w:val="000F1383"/>
    <w:rsid w:val="000F1CEF"/>
    <w:rsid w:val="000F41B5"/>
    <w:rsid w:val="000F562A"/>
    <w:rsid w:val="000F5C5D"/>
    <w:rsid w:val="000F61A3"/>
    <w:rsid w:val="000F7FE0"/>
    <w:rsid w:val="00100A44"/>
    <w:rsid w:val="00102BC1"/>
    <w:rsid w:val="0010354E"/>
    <w:rsid w:val="00106706"/>
    <w:rsid w:val="001104E2"/>
    <w:rsid w:val="00110F53"/>
    <w:rsid w:val="00111523"/>
    <w:rsid w:val="00111E24"/>
    <w:rsid w:val="00112CDA"/>
    <w:rsid w:val="001151C8"/>
    <w:rsid w:val="00115426"/>
    <w:rsid w:val="0011557F"/>
    <w:rsid w:val="00115B02"/>
    <w:rsid w:val="001160EB"/>
    <w:rsid w:val="001161DE"/>
    <w:rsid w:val="001167CE"/>
    <w:rsid w:val="001168A0"/>
    <w:rsid w:val="00116D79"/>
    <w:rsid w:val="0011754F"/>
    <w:rsid w:val="00117906"/>
    <w:rsid w:val="00117B07"/>
    <w:rsid w:val="00123125"/>
    <w:rsid w:val="001239E3"/>
    <w:rsid w:val="00131417"/>
    <w:rsid w:val="00133FE5"/>
    <w:rsid w:val="00134B6F"/>
    <w:rsid w:val="00140BF2"/>
    <w:rsid w:val="0014196F"/>
    <w:rsid w:val="001421D4"/>
    <w:rsid w:val="0014344A"/>
    <w:rsid w:val="00143C16"/>
    <w:rsid w:val="001475DC"/>
    <w:rsid w:val="001479AB"/>
    <w:rsid w:val="00152762"/>
    <w:rsid w:val="00153BBC"/>
    <w:rsid w:val="001545E3"/>
    <w:rsid w:val="001548C1"/>
    <w:rsid w:val="00155333"/>
    <w:rsid w:val="001555EA"/>
    <w:rsid w:val="001611BB"/>
    <w:rsid w:val="001614BF"/>
    <w:rsid w:val="0016171A"/>
    <w:rsid w:val="00162205"/>
    <w:rsid w:val="001630EE"/>
    <w:rsid w:val="001633D9"/>
    <w:rsid w:val="00164002"/>
    <w:rsid w:val="00166227"/>
    <w:rsid w:val="00167966"/>
    <w:rsid w:val="00170167"/>
    <w:rsid w:val="00170A7C"/>
    <w:rsid w:val="00173DA1"/>
    <w:rsid w:val="00174FDC"/>
    <w:rsid w:val="00175E35"/>
    <w:rsid w:val="001777B7"/>
    <w:rsid w:val="001800AB"/>
    <w:rsid w:val="00180AE3"/>
    <w:rsid w:val="00183425"/>
    <w:rsid w:val="0018405F"/>
    <w:rsid w:val="00186357"/>
    <w:rsid w:val="00186909"/>
    <w:rsid w:val="00186DFF"/>
    <w:rsid w:val="00186EEB"/>
    <w:rsid w:val="00187088"/>
    <w:rsid w:val="001924E9"/>
    <w:rsid w:val="00192562"/>
    <w:rsid w:val="001928A2"/>
    <w:rsid w:val="00192D95"/>
    <w:rsid w:val="00195EB9"/>
    <w:rsid w:val="001A02FA"/>
    <w:rsid w:val="001A0ACD"/>
    <w:rsid w:val="001A0F0F"/>
    <w:rsid w:val="001A0FC0"/>
    <w:rsid w:val="001A439A"/>
    <w:rsid w:val="001A6AD8"/>
    <w:rsid w:val="001A6CEF"/>
    <w:rsid w:val="001A7CED"/>
    <w:rsid w:val="001A7D94"/>
    <w:rsid w:val="001B03D3"/>
    <w:rsid w:val="001B1897"/>
    <w:rsid w:val="001B2AC8"/>
    <w:rsid w:val="001B6407"/>
    <w:rsid w:val="001B751F"/>
    <w:rsid w:val="001B7A88"/>
    <w:rsid w:val="001C002F"/>
    <w:rsid w:val="001C00B5"/>
    <w:rsid w:val="001C0801"/>
    <w:rsid w:val="001C2891"/>
    <w:rsid w:val="001C2AD5"/>
    <w:rsid w:val="001C4016"/>
    <w:rsid w:val="001C55EC"/>
    <w:rsid w:val="001C5B00"/>
    <w:rsid w:val="001C6E8D"/>
    <w:rsid w:val="001D016E"/>
    <w:rsid w:val="001D0F8F"/>
    <w:rsid w:val="001D25C7"/>
    <w:rsid w:val="001D28D0"/>
    <w:rsid w:val="001D44C5"/>
    <w:rsid w:val="001D4887"/>
    <w:rsid w:val="001D50DB"/>
    <w:rsid w:val="001D532B"/>
    <w:rsid w:val="001D60BE"/>
    <w:rsid w:val="001D6CE2"/>
    <w:rsid w:val="001D7518"/>
    <w:rsid w:val="001E3360"/>
    <w:rsid w:val="001E341F"/>
    <w:rsid w:val="001E4066"/>
    <w:rsid w:val="001E4ECB"/>
    <w:rsid w:val="001E7626"/>
    <w:rsid w:val="001E7EA2"/>
    <w:rsid w:val="001F1311"/>
    <w:rsid w:val="001F1B3D"/>
    <w:rsid w:val="001F30B0"/>
    <w:rsid w:val="001F3AC8"/>
    <w:rsid w:val="001F514D"/>
    <w:rsid w:val="001F5D80"/>
    <w:rsid w:val="0020180D"/>
    <w:rsid w:val="00201B14"/>
    <w:rsid w:val="00201F5F"/>
    <w:rsid w:val="00202E59"/>
    <w:rsid w:val="00202E8B"/>
    <w:rsid w:val="00204EA6"/>
    <w:rsid w:val="00206559"/>
    <w:rsid w:val="00211F67"/>
    <w:rsid w:val="00212F19"/>
    <w:rsid w:val="002135B2"/>
    <w:rsid w:val="002151CD"/>
    <w:rsid w:val="00216FBA"/>
    <w:rsid w:val="0021706C"/>
    <w:rsid w:val="0021752C"/>
    <w:rsid w:val="00217DA3"/>
    <w:rsid w:val="00217F96"/>
    <w:rsid w:val="00220912"/>
    <w:rsid w:val="002229FF"/>
    <w:rsid w:val="00224514"/>
    <w:rsid w:val="0022655A"/>
    <w:rsid w:val="00226598"/>
    <w:rsid w:val="002307B0"/>
    <w:rsid w:val="00230A04"/>
    <w:rsid w:val="00230CD1"/>
    <w:rsid w:val="002319AF"/>
    <w:rsid w:val="002319D4"/>
    <w:rsid w:val="00231FDC"/>
    <w:rsid w:val="00232A9C"/>
    <w:rsid w:val="002339CF"/>
    <w:rsid w:val="00233A93"/>
    <w:rsid w:val="002341C5"/>
    <w:rsid w:val="002346BF"/>
    <w:rsid w:val="00237C55"/>
    <w:rsid w:val="00240C6B"/>
    <w:rsid w:val="00243C26"/>
    <w:rsid w:val="00243FF0"/>
    <w:rsid w:val="00246BCE"/>
    <w:rsid w:val="00246C02"/>
    <w:rsid w:val="00251265"/>
    <w:rsid w:val="002547F1"/>
    <w:rsid w:val="00257F8F"/>
    <w:rsid w:val="002609ED"/>
    <w:rsid w:val="00263467"/>
    <w:rsid w:val="002637FE"/>
    <w:rsid w:val="00264023"/>
    <w:rsid w:val="00264F0A"/>
    <w:rsid w:val="00265DEC"/>
    <w:rsid w:val="00266F5C"/>
    <w:rsid w:val="00267026"/>
    <w:rsid w:val="00270474"/>
    <w:rsid w:val="0027133A"/>
    <w:rsid w:val="002730B5"/>
    <w:rsid w:val="002732EF"/>
    <w:rsid w:val="002740D9"/>
    <w:rsid w:val="002743B1"/>
    <w:rsid w:val="00274714"/>
    <w:rsid w:val="00274F2C"/>
    <w:rsid w:val="0027590D"/>
    <w:rsid w:val="00275C0E"/>
    <w:rsid w:val="00276FE2"/>
    <w:rsid w:val="0027735B"/>
    <w:rsid w:val="002778B0"/>
    <w:rsid w:val="00277B6D"/>
    <w:rsid w:val="00277E42"/>
    <w:rsid w:val="00280BD8"/>
    <w:rsid w:val="00280E0B"/>
    <w:rsid w:val="00280F14"/>
    <w:rsid w:val="0028294D"/>
    <w:rsid w:val="00284A25"/>
    <w:rsid w:val="00284EE2"/>
    <w:rsid w:val="002850E1"/>
    <w:rsid w:val="00285308"/>
    <w:rsid w:val="0028617F"/>
    <w:rsid w:val="00287226"/>
    <w:rsid w:val="00287D80"/>
    <w:rsid w:val="00292F59"/>
    <w:rsid w:val="002937F4"/>
    <w:rsid w:val="00293824"/>
    <w:rsid w:val="002A0643"/>
    <w:rsid w:val="002A07F8"/>
    <w:rsid w:val="002A09B0"/>
    <w:rsid w:val="002A0DA7"/>
    <w:rsid w:val="002A11F3"/>
    <w:rsid w:val="002A1CA1"/>
    <w:rsid w:val="002A3ED5"/>
    <w:rsid w:val="002A644E"/>
    <w:rsid w:val="002A6893"/>
    <w:rsid w:val="002B2E89"/>
    <w:rsid w:val="002B45F7"/>
    <w:rsid w:val="002B647A"/>
    <w:rsid w:val="002B6AF7"/>
    <w:rsid w:val="002B79EC"/>
    <w:rsid w:val="002C0D70"/>
    <w:rsid w:val="002C135D"/>
    <w:rsid w:val="002C1A11"/>
    <w:rsid w:val="002C1C46"/>
    <w:rsid w:val="002C2EEC"/>
    <w:rsid w:val="002C3137"/>
    <w:rsid w:val="002C3A56"/>
    <w:rsid w:val="002C3D2D"/>
    <w:rsid w:val="002C58BD"/>
    <w:rsid w:val="002D03E5"/>
    <w:rsid w:val="002D1328"/>
    <w:rsid w:val="002D1477"/>
    <w:rsid w:val="002D1E7F"/>
    <w:rsid w:val="002D52F6"/>
    <w:rsid w:val="002D6022"/>
    <w:rsid w:val="002E0107"/>
    <w:rsid w:val="002E11E4"/>
    <w:rsid w:val="002E2B45"/>
    <w:rsid w:val="002E3EDB"/>
    <w:rsid w:val="002E447E"/>
    <w:rsid w:val="002E4A9B"/>
    <w:rsid w:val="002E6B66"/>
    <w:rsid w:val="002E72F9"/>
    <w:rsid w:val="002F02F2"/>
    <w:rsid w:val="002F050D"/>
    <w:rsid w:val="002F2A32"/>
    <w:rsid w:val="002F3493"/>
    <w:rsid w:val="002F34F4"/>
    <w:rsid w:val="0030074E"/>
    <w:rsid w:val="00300DA6"/>
    <w:rsid w:val="003030C4"/>
    <w:rsid w:val="0030326A"/>
    <w:rsid w:val="00304721"/>
    <w:rsid w:val="0030544A"/>
    <w:rsid w:val="003054F2"/>
    <w:rsid w:val="00305755"/>
    <w:rsid w:val="00305A05"/>
    <w:rsid w:val="003066AF"/>
    <w:rsid w:val="00307228"/>
    <w:rsid w:val="0030790C"/>
    <w:rsid w:val="00310979"/>
    <w:rsid w:val="0031357D"/>
    <w:rsid w:val="003138AF"/>
    <w:rsid w:val="00314A6F"/>
    <w:rsid w:val="00320001"/>
    <w:rsid w:val="00320365"/>
    <w:rsid w:val="00321C9A"/>
    <w:rsid w:val="00322026"/>
    <w:rsid w:val="0032375D"/>
    <w:rsid w:val="00324819"/>
    <w:rsid w:val="00325923"/>
    <w:rsid w:val="00327A64"/>
    <w:rsid w:val="00327E4E"/>
    <w:rsid w:val="00331280"/>
    <w:rsid w:val="0033195A"/>
    <w:rsid w:val="00334436"/>
    <w:rsid w:val="003358D1"/>
    <w:rsid w:val="00336639"/>
    <w:rsid w:val="00336FAA"/>
    <w:rsid w:val="00342614"/>
    <w:rsid w:val="0034591C"/>
    <w:rsid w:val="00346B2B"/>
    <w:rsid w:val="003510DB"/>
    <w:rsid w:val="00351310"/>
    <w:rsid w:val="0035212E"/>
    <w:rsid w:val="003532AE"/>
    <w:rsid w:val="00355188"/>
    <w:rsid w:val="003561D8"/>
    <w:rsid w:val="00360E63"/>
    <w:rsid w:val="0036122B"/>
    <w:rsid w:val="00361685"/>
    <w:rsid w:val="003617E5"/>
    <w:rsid w:val="00362A2D"/>
    <w:rsid w:val="003638CB"/>
    <w:rsid w:val="00364095"/>
    <w:rsid w:val="00365075"/>
    <w:rsid w:val="00365490"/>
    <w:rsid w:val="00366FF9"/>
    <w:rsid w:val="003670A3"/>
    <w:rsid w:val="003670E4"/>
    <w:rsid w:val="00367EF6"/>
    <w:rsid w:val="00370E00"/>
    <w:rsid w:val="0037145F"/>
    <w:rsid w:val="00371C24"/>
    <w:rsid w:val="00372F0B"/>
    <w:rsid w:val="0037351F"/>
    <w:rsid w:val="003745B9"/>
    <w:rsid w:val="00374776"/>
    <w:rsid w:val="0037492D"/>
    <w:rsid w:val="00374A54"/>
    <w:rsid w:val="00374DA4"/>
    <w:rsid w:val="003750BB"/>
    <w:rsid w:val="00375DF1"/>
    <w:rsid w:val="0037799D"/>
    <w:rsid w:val="00377EB4"/>
    <w:rsid w:val="00377F40"/>
    <w:rsid w:val="00381A47"/>
    <w:rsid w:val="00382926"/>
    <w:rsid w:val="00382F15"/>
    <w:rsid w:val="0038362C"/>
    <w:rsid w:val="00383F15"/>
    <w:rsid w:val="00390BAF"/>
    <w:rsid w:val="00391E3A"/>
    <w:rsid w:val="00394FA4"/>
    <w:rsid w:val="00397675"/>
    <w:rsid w:val="003A045A"/>
    <w:rsid w:val="003A0F73"/>
    <w:rsid w:val="003A274E"/>
    <w:rsid w:val="003A37A2"/>
    <w:rsid w:val="003A4D05"/>
    <w:rsid w:val="003A53BD"/>
    <w:rsid w:val="003B15F4"/>
    <w:rsid w:val="003B1D88"/>
    <w:rsid w:val="003B26F7"/>
    <w:rsid w:val="003B32E6"/>
    <w:rsid w:val="003B39C8"/>
    <w:rsid w:val="003B591D"/>
    <w:rsid w:val="003B6F5D"/>
    <w:rsid w:val="003B7A9C"/>
    <w:rsid w:val="003C05D0"/>
    <w:rsid w:val="003C31CA"/>
    <w:rsid w:val="003C3E4E"/>
    <w:rsid w:val="003C665F"/>
    <w:rsid w:val="003C6F31"/>
    <w:rsid w:val="003C73C0"/>
    <w:rsid w:val="003C75C7"/>
    <w:rsid w:val="003D10E9"/>
    <w:rsid w:val="003D1CD3"/>
    <w:rsid w:val="003D3359"/>
    <w:rsid w:val="003D4246"/>
    <w:rsid w:val="003D4B3E"/>
    <w:rsid w:val="003D7264"/>
    <w:rsid w:val="003D7642"/>
    <w:rsid w:val="003D785B"/>
    <w:rsid w:val="003E08C5"/>
    <w:rsid w:val="003E31FD"/>
    <w:rsid w:val="003E44D9"/>
    <w:rsid w:val="003E492F"/>
    <w:rsid w:val="003E6388"/>
    <w:rsid w:val="003E6FB4"/>
    <w:rsid w:val="003E741D"/>
    <w:rsid w:val="003F17CC"/>
    <w:rsid w:val="003F1F49"/>
    <w:rsid w:val="003F2CB0"/>
    <w:rsid w:val="003F3F6D"/>
    <w:rsid w:val="003F59AE"/>
    <w:rsid w:val="003F6E66"/>
    <w:rsid w:val="003F6FCB"/>
    <w:rsid w:val="003F7D5C"/>
    <w:rsid w:val="004009B4"/>
    <w:rsid w:val="004013D8"/>
    <w:rsid w:val="004026E9"/>
    <w:rsid w:val="0040324E"/>
    <w:rsid w:val="004033AF"/>
    <w:rsid w:val="004035E8"/>
    <w:rsid w:val="004048BF"/>
    <w:rsid w:val="00404F27"/>
    <w:rsid w:val="004054BE"/>
    <w:rsid w:val="00405895"/>
    <w:rsid w:val="004061FC"/>
    <w:rsid w:val="00410FEF"/>
    <w:rsid w:val="004128FC"/>
    <w:rsid w:val="004134ED"/>
    <w:rsid w:val="00413910"/>
    <w:rsid w:val="00414491"/>
    <w:rsid w:val="00415E36"/>
    <w:rsid w:val="00416386"/>
    <w:rsid w:val="00417650"/>
    <w:rsid w:val="00417968"/>
    <w:rsid w:val="004200F0"/>
    <w:rsid w:val="00421340"/>
    <w:rsid w:val="00421688"/>
    <w:rsid w:val="00421767"/>
    <w:rsid w:val="004231FD"/>
    <w:rsid w:val="00423324"/>
    <w:rsid w:val="00423928"/>
    <w:rsid w:val="00424B08"/>
    <w:rsid w:val="00424D3D"/>
    <w:rsid w:val="00425FA0"/>
    <w:rsid w:val="0042682F"/>
    <w:rsid w:val="00431A4F"/>
    <w:rsid w:val="004325CC"/>
    <w:rsid w:val="00432BC3"/>
    <w:rsid w:val="00433F0B"/>
    <w:rsid w:val="00435522"/>
    <w:rsid w:val="00436761"/>
    <w:rsid w:val="00436A0C"/>
    <w:rsid w:val="00436D93"/>
    <w:rsid w:val="00437A1F"/>
    <w:rsid w:val="00440336"/>
    <w:rsid w:val="00440AD6"/>
    <w:rsid w:val="00440E9D"/>
    <w:rsid w:val="00441345"/>
    <w:rsid w:val="004425D3"/>
    <w:rsid w:val="004427C4"/>
    <w:rsid w:val="00444692"/>
    <w:rsid w:val="004500C0"/>
    <w:rsid w:val="0045082F"/>
    <w:rsid w:val="004521A1"/>
    <w:rsid w:val="00453AF0"/>
    <w:rsid w:val="00453E80"/>
    <w:rsid w:val="00454115"/>
    <w:rsid w:val="00454A08"/>
    <w:rsid w:val="00455305"/>
    <w:rsid w:val="0045663E"/>
    <w:rsid w:val="00456ECE"/>
    <w:rsid w:val="00456F5F"/>
    <w:rsid w:val="00457DC1"/>
    <w:rsid w:val="00460DBE"/>
    <w:rsid w:val="00461116"/>
    <w:rsid w:val="00461348"/>
    <w:rsid w:val="00461E9A"/>
    <w:rsid w:val="00463F96"/>
    <w:rsid w:val="00470BED"/>
    <w:rsid w:val="004714DD"/>
    <w:rsid w:val="004732A8"/>
    <w:rsid w:val="004749A1"/>
    <w:rsid w:val="004756EF"/>
    <w:rsid w:val="0047681A"/>
    <w:rsid w:val="004777CF"/>
    <w:rsid w:val="00481FBC"/>
    <w:rsid w:val="0048364F"/>
    <w:rsid w:val="00483657"/>
    <w:rsid w:val="004847A5"/>
    <w:rsid w:val="00485BE4"/>
    <w:rsid w:val="00486692"/>
    <w:rsid w:val="00487764"/>
    <w:rsid w:val="004903C9"/>
    <w:rsid w:val="004943DD"/>
    <w:rsid w:val="00495715"/>
    <w:rsid w:val="00495FC9"/>
    <w:rsid w:val="004977E2"/>
    <w:rsid w:val="00497959"/>
    <w:rsid w:val="00497D9B"/>
    <w:rsid w:val="004A02A8"/>
    <w:rsid w:val="004A24F9"/>
    <w:rsid w:val="004A37F5"/>
    <w:rsid w:val="004A385C"/>
    <w:rsid w:val="004A3D7D"/>
    <w:rsid w:val="004A5467"/>
    <w:rsid w:val="004A67D8"/>
    <w:rsid w:val="004B027F"/>
    <w:rsid w:val="004B05F4"/>
    <w:rsid w:val="004B2526"/>
    <w:rsid w:val="004B259E"/>
    <w:rsid w:val="004B3E6D"/>
    <w:rsid w:val="004B4DE2"/>
    <w:rsid w:val="004B746C"/>
    <w:rsid w:val="004B78EE"/>
    <w:rsid w:val="004C16FA"/>
    <w:rsid w:val="004C279A"/>
    <w:rsid w:val="004C2E06"/>
    <w:rsid w:val="004C3D2B"/>
    <w:rsid w:val="004C4607"/>
    <w:rsid w:val="004C4EFE"/>
    <w:rsid w:val="004C55B8"/>
    <w:rsid w:val="004C5681"/>
    <w:rsid w:val="004C740B"/>
    <w:rsid w:val="004C7482"/>
    <w:rsid w:val="004D03F1"/>
    <w:rsid w:val="004D06BF"/>
    <w:rsid w:val="004D0D42"/>
    <w:rsid w:val="004D2398"/>
    <w:rsid w:val="004D26AE"/>
    <w:rsid w:val="004D2706"/>
    <w:rsid w:val="004D29FF"/>
    <w:rsid w:val="004D2F11"/>
    <w:rsid w:val="004D40F9"/>
    <w:rsid w:val="004D4945"/>
    <w:rsid w:val="004D50FB"/>
    <w:rsid w:val="004D75DC"/>
    <w:rsid w:val="004E0EE0"/>
    <w:rsid w:val="004E18BF"/>
    <w:rsid w:val="004E1EF6"/>
    <w:rsid w:val="004E1FDF"/>
    <w:rsid w:val="004E36DA"/>
    <w:rsid w:val="004E58B4"/>
    <w:rsid w:val="004E6582"/>
    <w:rsid w:val="004E6713"/>
    <w:rsid w:val="004E7BAA"/>
    <w:rsid w:val="004F367D"/>
    <w:rsid w:val="004F60CC"/>
    <w:rsid w:val="005001C7"/>
    <w:rsid w:val="00503058"/>
    <w:rsid w:val="005034F1"/>
    <w:rsid w:val="005035BB"/>
    <w:rsid w:val="005047A7"/>
    <w:rsid w:val="00505F7D"/>
    <w:rsid w:val="0050600D"/>
    <w:rsid w:val="00513EFA"/>
    <w:rsid w:val="00515278"/>
    <w:rsid w:val="005155D8"/>
    <w:rsid w:val="00516146"/>
    <w:rsid w:val="005162CB"/>
    <w:rsid w:val="00516324"/>
    <w:rsid w:val="00516399"/>
    <w:rsid w:val="005166AC"/>
    <w:rsid w:val="00516FDC"/>
    <w:rsid w:val="00517D3C"/>
    <w:rsid w:val="00520E27"/>
    <w:rsid w:val="00522434"/>
    <w:rsid w:val="00522AE8"/>
    <w:rsid w:val="005240C8"/>
    <w:rsid w:val="00524309"/>
    <w:rsid w:val="005244BF"/>
    <w:rsid w:val="005251B1"/>
    <w:rsid w:val="005254A5"/>
    <w:rsid w:val="005271AD"/>
    <w:rsid w:val="005275AC"/>
    <w:rsid w:val="00533A5D"/>
    <w:rsid w:val="00534D5A"/>
    <w:rsid w:val="00535E6E"/>
    <w:rsid w:val="0053619E"/>
    <w:rsid w:val="0053711D"/>
    <w:rsid w:val="00543672"/>
    <w:rsid w:val="0054538C"/>
    <w:rsid w:val="00545528"/>
    <w:rsid w:val="005461BE"/>
    <w:rsid w:val="0054710B"/>
    <w:rsid w:val="00550B5B"/>
    <w:rsid w:val="00551ADE"/>
    <w:rsid w:val="00551FE2"/>
    <w:rsid w:val="005530B9"/>
    <w:rsid w:val="00554038"/>
    <w:rsid w:val="005543E4"/>
    <w:rsid w:val="0055446E"/>
    <w:rsid w:val="0055584B"/>
    <w:rsid w:val="005562EC"/>
    <w:rsid w:val="00557129"/>
    <w:rsid w:val="00557A0E"/>
    <w:rsid w:val="005625AA"/>
    <w:rsid w:val="00562629"/>
    <w:rsid w:val="00563234"/>
    <w:rsid w:val="00565156"/>
    <w:rsid w:val="0057114A"/>
    <w:rsid w:val="00572291"/>
    <w:rsid w:val="00572BEC"/>
    <w:rsid w:val="005738B2"/>
    <w:rsid w:val="00574286"/>
    <w:rsid w:val="00574EE3"/>
    <w:rsid w:val="005776A3"/>
    <w:rsid w:val="005778FC"/>
    <w:rsid w:val="0058049F"/>
    <w:rsid w:val="00582454"/>
    <w:rsid w:val="005875CA"/>
    <w:rsid w:val="00587676"/>
    <w:rsid w:val="00587793"/>
    <w:rsid w:val="00592561"/>
    <w:rsid w:val="00592CD5"/>
    <w:rsid w:val="00594BA9"/>
    <w:rsid w:val="00594BDC"/>
    <w:rsid w:val="0059559B"/>
    <w:rsid w:val="005956B8"/>
    <w:rsid w:val="00597797"/>
    <w:rsid w:val="005A0824"/>
    <w:rsid w:val="005A0C7D"/>
    <w:rsid w:val="005A2104"/>
    <w:rsid w:val="005A2174"/>
    <w:rsid w:val="005A287C"/>
    <w:rsid w:val="005A3813"/>
    <w:rsid w:val="005A4466"/>
    <w:rsid w:val="005A46A3"/>
    <w:rsid w:val="005A47F0"/>
    <w:rsid w:val="005A55EE"/>
    <w:rsid w:val="005A6074"/>
    <w:rsid w:val="005A6526"/>
    <w:rsid w:val="005A7BD4"/>
    <w:rsid w:val="005B1F7E"/>
    <w:rsid w:val="005B2771"/>
    <w:rsid w:val="005B4D31"/>
    <w:rsid w:val="005B54D2"/>
    <w:rsid w:val="005B5B52"/>
    <w:rsid w:val="005B5B97"/>
    <w:rsid w:val="005B7B53"/>
    <w:rsid w:val="005C1EBC"/>
    <w:rsid w:val="005C23D9"/>
    <w:rsid w:val="005C4276"/>
    <w:rsid w:val="005C4B58"/>
    <w:rsid w:val="005C574C"/>
    <w:rsid w:val="005C68A1"/>
    <w:rsid w:val="005D29C9"/>
    <w:rsid w:val="005D5A1A"/>
    <w:rsid w:val="005D612A"/>
    <w:rsid w:val="005D6FCE"/>
    <w:rsid w:val="005D7DD3"/>
    <w:rsid w:val="005D7E7F"/>
    <w:rsid w:val="005E37D4"/>
    <w:rsid w:val="005E3A5F"/>
    <w:rsid w:val="005E4A56"/>
    <w:rsid w:val="005E5492"/>
    <w:rsid w:val="005E7245"/>
    <w:rsid w:val="005E76D6"/>
    <w:rsid w:val="005F268B"/>
    <w:rsid w:val="005F2E2D"/>
    <w:rsid w:val="005F2E9A"/>
    <w:rsid w:val="005F50D9"/>
    <w:rsid w:val="005F59EC"/>
    <w:rsid w:val="005F5F44"/>
    <w:rsid w:val="006000D0"/>
    <w:rsid w:val="00600747"/>
    <w:rsid w:val="00602A09"/>
    <w:rsid w:val="006035FF"/>
    <w:rsid w:val="00610A49"/>
    <w:rsid w:val="00610D1E"/>
    <w:rsid w:val="00612DC2"/>
    <w:rsid w:val="006133F4"/>
    <w:rsid w:val="00613E91"/>
    <w:rsid w:val="00614316"/>
    <w:rsid w:val="00614B3B"/>
    <w:rsid w:val="006177C0"/>
    <w:rsid w:val="00621C5B"/>
    <w:rsid w:val="00622D2E"/>
    <w:rsid w:val="006234AC"/>
    <w:rsid w:val="00623973"/>
    <w:rsid w:val="00623E88"/>
    <w:rsid w:val="00624C6C"/>
    <w:rsid w:val="00625D9E"/>
    <w:rsid w:val="006278A7"/>
    <w:rsid w:val="00632A10"/>
    <w:rsid w:val="00632F17"/>
    <w:rsid w:val="006343AA"/>
    <w:rsid w:val="00634F1F"/>
    <w:rsid w:val="00635361"/>
    <w:rsid w:val="00636A80"/>
    <w:rsid w:val="00636C46"/>
    <w:rsid w:val="006409DD"/>
    <w:rsid w:val="00641594"/>
    <w:rsid w:val="006447BF"/>
    <w:rsid w:val="0064510F"/>
    <w:rsid w:val="006452F7"/>
    <w:rsid w:val="00645903"/>
    <w:rsid w:val="00651135"/>
    <w:rsid w:val="006565CE"/>
    <w:rsid w:val="006574A5"/>
    <w:rsid w:val="00661CBF"/>
    <w:rsid w:val="00661CC8"/>
    <w:rsid w:val="0066299A"/>
    <w:rsid w:val="0066401A"/>
    <w:rsid w:val="006642B9"/>
    <w:rsid w:val="00666888"/>
    <w:rsid w:val="00666C16"/>
    <w:rsid w:val="006740D8"/>
    <w:rsid w:val="0067579D"/>
    <w:rsid w:val="0067588C"/>
    <w:rsid w:val="00680640"/>
    <w:rsid w:val="00680727"/>
    <w:rsid w:val="00681382"/>
    <w:rsid w:val="00683625"/>
    <w:rsid w:val="00684FAE"/>
    <w:rsid w:val="00686645"/>
    <w:rsid w:val="00686C13"/>
    <w:rsid w:val="0068764E"/>
    <w:rsid w:val="00694911"/>
    <w:rsid w:val="0069615B"/>
    <w:rsid w:val="00697390"/>
    <w:rsid w:val="00697478"/>
    <w:rsid w:val="006A0EC6"/>
    <w:rsid w:val="006A1FCD"/>
    <w:rsid w:val="006A2583"/>
    <w:rsid w:val="006B0649"/>
    <w:rsid w:val="006B142E"/>
    <w:rsid w:val="006B18CB"/>
    <w:rsid w:val="006B34E9"/>
    <w:rsid w:val="006B43E1"/>
    <w:rsid w:val="006B4F7D"/>
    <w:rsid w:val="006B7560"/>
    <w:rsid w:val="006C061C"/>
    <w:rsid w:val="006C0970"/>
    <w:rsid w:val="006C1C57"/>
    <w:rsid w:val="006C33CE"/>
    <w:rsid w:val="006C4172"/>
    <w:rsid w:val="006C5A71"/>
    <w:rsid w:val="006C685D"/>
    <w:rsid w:val="006C6FFE"/>
    <w:rsid w:val="006C7E2F"/>
    <w:rsid w:val="006D001A"/>
    <w:rsid w:val="006D1DDA"/>
    <w:rsid w:val="006D305C"/>
    <w:rsid w:val="006D310B"/>
    <w:rsid w:val="006D429C"/>
    <w:rsid w:val="006D4B64"/>
    <w:rsid w:val="006D5AD4"/>
    <w:rsid w:val="006D7550"/>
    <w:rsid w:val="006D790B"/>
    <w:rsid w:val="006E02F9"/>
    <w:rsid w:val="006E092E"/>
    <w:rsid w:val="006E0961"/>
    <w:rsid w:val="006E0972"/>
    <w:rsid w:val="006E1A38"/>
    <w:rsid w:val="006E2769"/>
    <w:rsid w:val="006E5CA9"/>
    <w:rsid w:val="006E7A5F"/>
    <w:rsid w:val="006F0E63"/>
    <w:rsid w:val="006F1A97"/>
    <w:rsid w:val="006F2734"/>
    <w:rsid w:val="006F28E7"/>
    <w:rsid w:val="006F2AC3"/>
    <w:rsid w:val="006F2C9F"/>
    <w:rsid w:val="006F3695"/>
    <w:rsid w:val="006F3E44"/>
    <w:rsid w:val="006F3ED7"/>
    <w:rsid w:val="006F5790"/>
    <w:rsid w:val="006F591C"/>
    <w:rsid w:val="006F594B"/>
    <w:rsid w:val="006F662F"/>
    <w:rsid w:val="006F6BEE"/>
    <w:rsid w:val="007010B8"/>
    <w:rsid w:val="00702976"/>
    <w:rsid w:val="00702C3B"/>
    <w:rsid w:val="00705136"/>
    <w:rsid w:val="007057D6"/>
    <w:rsid w:val="00706E61"/>
    <w:rsid w:val="0070774B"/>
    <w:rsid w:val="007153FF"/>
    <w:rsid w:val="00715591"/>
    <w:rsid w:val="0071600A"/>
    <w:rsid w:val="00716FF9"/>
    <w:rsid w:val="00717080"/>
    <w:rsid w:val="0072049B"/>
    <w:rsid w:val="00720511"/>
    <w:rsid w:val="007212B3"/>
    <w:rsid w:val="00721EE8"/>
    <w:rsid w:val="0072320A"/>
    <w:rsid w:val="00723BD2"/>
    <w:rsid w:val="00727129"/>
    <w:rsid w:val="0072790F"/>
    <w:rsid w:val="00731FAA"/>
    <w:rsid w:val="007343A2"/>
    <w:rsid w:val="0073443B"/>
    <w:rsid w:val="0073774E"/>
    <w:rsid w:val="007414BE"/>
    <w:rsid w:val="00742890"/>
    <w:rsid w:val="00743065"/>
    <w:rsid w:val="00745729"/>
    <w:rsid w:val="00751757"/>
    <w:rsid w:val="0075184B"/>
    <w:rsid w:val="00751F5A"/>
    <w:rsid w:val="00752D34"/>
    <w:rsid w:val="00753BCE"/>
    <w:rsid w:val="00754324"/>
    <w:rsid w:val="00754C2A"/>
    <w:rsid w:val="0075647C"/>
    <w:rsid w:val="007624EA"/>
    <w:rsid w:val="00762BD7"/>
    <w:rsid w:val="00762CCF"/>
    <w:rsid w:val="00763A02"/>
    <w:rsid w:val="00764BF2"/>
    <w:rsid w:val="00765403"/>
    <w:rsid w:val="00766C6D"/>
    <w:rsid w:val="0076719B"/>
    <w:rsid w:val="0077007F"/>
    <w:rsid w:val="00770556"/>
    <w:rsid w:val="00771D76"/>
    <w:rsid w:val="007721C7"/>
    <w:rsid w:val="007727E0"/>
    <w:rsid w:val="00772EB6"/>
    <w:rsid w:val="00773F0F"/>
    <w:rsid w:val="00774347"/>
    <w:rsid w:val="0077453E"/>
    <w:rsid w:val="00774DAB"/>
    <w:rsid w:val="00774E26"/>
    <w:rsid w:val="00775796"/>
    <w:rsid w:val="00776A82"/>
    <w:rsid w:val="00777275"/>
    <w:rsid w:val="00780321"/>
    <w:rsid w:val="00783780"/>
    <w:rsid w:val="00783EBE"/>
    <w:rsid w:val="0078445A"/>
    <w:rsid w:val="00785355"/>
    <w:rsid w:val="0078553A"/>
    <w:rsid w:val="00786366"/>
    <w:rsid w:val="007864F4"/>
    <w:rsid w:val="00790B4B"/>
    <w:rsid w:val="00790F0E"/>
    <w:rsid w:val="00792850"/>
    <w:rsid w:val="00793DA8"/>
    <w:rsid w:val="007949AE"/>
    <w:rsid w:val="00795C13"/>
    <w:rsid w:val="00796602"/>
    <w:rsid w:val="007967A7"/>
    <w:rsid w:val="007A20AE"/>
    <w:rsid w:val="007A27CA"/>
    <w:rsid w:val="007A4044"/>
    <w:rsid w:val="007A5171"/>
    <w:rsid w:val="007B017C"/>
    <w:rsid w:val="007B124C"/>
    <w:rsid w:val="007B25F3"/>
    <w:rsid w:val="007B3623"/>
    <w:rsid w:val="007B3811"/>
    <w:rsid w:val="007B6054"/>
    <w:rsid w:val="007B6AC7"/>
    <w:rsid w:val="007C0E6B"/>
    <w:rsid w:val="007C1899"/>
    <w:rsid w:val="007C27A0"/>
    <w:rsid w:val="007C2E8F"/>
    <w:rsid w:val="007C39FB"/>
    <w:rsid w:val="007C3AF8"/>
    <w:rsid w:val="007C4370"/>
    <w:rsid w:val="007C4B33"/>
    <w:rsid w:val="007C62E5"/>
    <w:rsid w:val="007C6664"/>
    <w:rsid w:val="007C6C2A"/>
    <w:rsid w:val="007C7F43"/>
    <w:rsid w:val="007D044F"/>
    <w:rsid w:val="007D651F"/>
    <w:rsid w:val="007D744B"/>
    <w:rsid w:val="007E0231"/>
    <w:rsid w:val="007E0974"/>
    <w:rsid w:val="007E1B60"/>
    <w:rsid w:val="007E7092"/>
    <w:rsid w:val="007E7A22"/>
    <w:rsid w:val="007E7FB0"/>
    <w:rsid w:val="007F02D8"/>
    <w:rsid w:val="007F09BA"/>
    <w:rsid w:val="007F0BD5"/>
    <w:rsid w:val="007F1B57"/>
    <w:rsid w:val="007F535C"/>
    <w:rsid w:val="007F641D"/>
    <w:rsid w:val="007F6FCC"/>
    <w:rsid w:val="007F7EBF"/>
    <w:rsid w:val="00800D34"/>
    <w:rsid w:val="008017F1"/>
    <w:rsid w:val="008101E8"/>
    <w:rsid w:val="0081138E"/>
    <w:rsid w:val="00811D60"/>
    <w:rsid w:val="00813482"/>
    <w:rsid w:val="00813EB6"/>
    <w:rsid w:val="0081453F"/>
    <w:rsid w:val="008160E1"/>
    <w:rsid w:val="00817340"/>
    <w:rsid w:val="00820204"/>
    <w:rsid w:val="00821B2B"/>
    <w:rsid w:val="00821D7A"/>
    <w:rsid w:val="008247CB"/>
    <w:rsid w:val="00824BF4"/>
    <w:rsid w:val="00825CE6"/>
    <w:rsid w:val="00827CB2"/>
    <w:rsid w:val="00831336"/>
    <w:rsid w:val="00831FF0"/>
    <w:rsid w:val="0083271C"/>
    <w:rsid w:val="00833E3E"/>
    <w:rsid w:val="00834D67"/>
    <w:rsid w:val="00835FD3"/>
    <w:rsid w:val="00840A53"/>
    <w:rsid w:val="008420B8"/>
    <w:rsid w:val="00844BBF"/>
    <w:rsid w:val="00844FB6"/>
    <w:rsid w:val="008457E1"/>
    <w:rsid w:val="00847165"/>
    <w:rsid w:val="00847B2C"/>
    <w:rsid w:val="00850CBE"/>
    <w:rsid w:val="008529DC"/>
    <w:rsid w:val="00852B69"/>
    <w:rsid w:val="00853348"/>
    <w:rsid w:val="008534C1"/>
    <w:rsid w:val="008548A7"/>
    <w:rsid w:val="00854EFD"/>
    <w:rsid w:val="00855507"/>
    <w:rsid w:val="00856997"/>
    <w:rsid w:val="00856B70"/>
    <w:rsid w:val="00860E38"/>
    <w:rsid w:val="00861134"/>
    <w:rsid w:val="008620DA"/>
    <w:rsid w:val="00862F9A"/>
    <w:rsid w:val="008633DA"/>
    <w:rsid w:val="00863DA5"/>
    <w:rsid w:val="0086593D"/>
    <w:rsid w:val="00865C37"/>
    <w:rsid w:val="00866136"/>
    <w:rsid w:val="008661E3"/>
    <w:rsid w:val="00866B0A"/>
    <w:rsid w:val="00867881"/>
    <w:rsid w:val="008722EB"/>
    <w:rsid w:val="008728AD"/>
    <w:rsid w:val="008729AE"/>
    <w:rsid w:val="008743A7"/>
    <w:rsid w:val="00875BD0"/>
    <w:rsid w:val="008769E3"/>
    <w:rsid w:val="00877F53"/>
    <w:rsid w:val="0088160F"/>
    <w:rsid w:val="00881860"/>
    <w:rsid w:val="00883C84"/>
    <w:rsid w:val="008844FF"/>
    <w:rsid w:val="00884C4F"/>
    <w:rsid w:val="00885265"/>
    <w:rsid w:val="00885E1E"/>
    <w:rsid w:val="008872A0"/>
    <w:rsid w:val="00891018"/>
    <w:rsid w:val="00892BB2"/>
    <w:rsid w:val="00894583"/>
    <w:rsid w:val="00895F86"/>
    <w:rsid w:val="00896FE7"/>
    <w:rsid w:val="008A2C6A"/>
    <w:rsid w:val="008A2F79"/>
    <w:rsid w:val="008A51E3"/>
    <w:rsid w:val="008A687B"/>
    <w:rsid w:val="008A711E"/>
    <w:rsid w:val="008A74A5"/>
    <w:rsid w:val="008B1460"/>
    <w:rsid w:val="008B16D1"/>
    <w:rsid w:val="008B266A"/>
    <w:rsid w:val="008B3371"/>
    <w:rsid w:val="008B3EAF"/>
    <w:rsid w:val="008B4ECB"/>
    <w:rsid w:val="008B6EBA"/>
    <w:rsid w:val="008C0BA1"/>
    <w:rsid w:val="008C17CB"/>
    <w:rsid w:val="008C3E68"/>
    <w:rsid w:val="008D05DE"/>
    <w:rsid w:val="008D0B73"/>
    <w:rsid w:val="008D0E7D"/>
    <w:rsid w:val="008D1E8A"/>
    <w:rsid w:val="008D2375"/>
    <w:rsid w:val="008D3F11"/>
    <w:rsid w:val="008D48DD"/>
    <w:rsid w:val="008D6BFC"/>
    <w:rsid w:val="008E2870"/>
    <w:rsid w:val="008E33D6"/>
    <w:rsid w:val="008E43BD"/>
    <w:rsid w:val="008E5828"/>
    <w:rsid w:val="008E6B33"/>
    <w:rsid w:val="008E757B"/>
    <w:rsid w:val="008E7F88"/>
    <w:rsid w:val="008F265C"/>
    <w:rsid w:val="009006EC"/>
    <w:rsid w:val="00902119"/>
    <w:rsid w:val="00902B52"/>
    <w:rsid w:val="00903AA2"/>
    <w:rsid w:val="009051F9"/>
    <w:rsid w:val="00905CA8"/>
    <w:rsid w:val="00907306"/>
    <w:rsid w:val="009073B3"/>
    <w:rsid w:val="00912713"/>
    <w:rsid w:val="00914828"/>
    <w:rsid w:val="00914950"/>
    <w:rsid w:val="009150B6"/>
    <w:rsid w:val="00916AB3"/>
    <w:rsid w:val="00920CE2"/>
    <w:rsid w:val="0092102F"/>
    <w:rsid w:val="009216F4"/>
    <w:rsid w:val="009227A3"/>
    <w:rsid w:val="00922E85"/>
    <w:rsid w:val="009250C9"/>
    <w:rsid w:val="0092658D"/>
    <w:rsid w:val="00930859"/>
    <w:rsid w:val="00930C4F"/>
    <w:rsid w:val="0093388E"/>
    <w:rsid w:val="009346A0"/>
    <w:rsid w:val="009363AD"/>
    <w:rsid w:val="009374DC"/>
    <w:rsid w:val="00937BBE"/>
    <w:rsid w:val="0094359B"/>
    <w:rsid w:val="0094441D"/>
    <w:rsid w:val="00944430"/>
    <w:rsid w:val="00945211"/>
    <w:rsid w:val="00945853"/>
    <w:rsid w:val="00947C85"/>
    <w:rsid w:val="009501E4"/>
    <w:rsid w:val="00954471"/>
    <w:rsid w:val="0095555A"/>
    <w:rsid w:val="009576BF"/>
    <w:rsid w:val="00960F9C"/>
    <w:rsid w:val="00960FA7"/>
    <w:rsid w:val="00961860"/>
    <w:rsid w:val="009646AA"/>
    <w:rsid w:val="0096750D"/>
    <w:rsid w:val="00967BF7"/>
    <w:rsid w:val="00970018"/>
    <w:rsid w:val="009702F8"/>
    <w:rsid w:val="00970652"/>
    <w:rsid w:val="00970806"/>
    <w:rsid w:val="009738F7"/>
    <w:rsid w:val="00976C58"/>
    <w:rsid w:val="00977A28"/>
    <w:rsid w:val="00982A12"/>
    <w:rsid w:val="00982AFD"/>
    <w:rsid w:val="00983538"/>
    <w:rsid w:val="0098414B"/>
    <w:rsid w:val="00984BE4"/>
    <w:rsid w:val="0098629A"/>
    <w:rsid w:val="00986BE4"/>
    <w:rsid w:val="0099024C"/>
    <w:rsid w:val="0099026F"/>
    <w:rsid w:val="00992921"/>
    <w:rsid w:val="00994C37"/>
    <w:rsid w:val="0099619C"/>
    <w:rsid w:val="00997751"/>
    <w:rsid w:val="00997AA5"/>
    <w:rsid w:val="009A1BC9"/>
    <w:rsid w:val="009A2C90"/>
    <w:rsid w:val="009A338B"/>
    <w:rsid w:val="009A3B37"/>
    <w:rsid w:val="009A42E8"/>
    <w:rsid w:val="009A6CE0"/>
    <w:rsid w:val="009A75B7"/>
    <w:rsid w:val="009A7EAD"/>
    <w:rsid w:val="009B18D0"/>
    <w:rsid w:val="009B319F"/>
    <w:rsid w:val="009B3F76"/>
    <w:rsid w:val="009B4216"/>
    <w:rsid w:val="009C1440"/>
    <w:rsid w:val="009C1928"/>
    <w:rsid w:val="009C6ECF"/>
    <w:rsid w:val="009D06C6"/>
    <w:rsid w:val="009D0BBB"/>
    <w:rsid w:val="009D2760"/>
    <w:rsid w:val="009D2F4A"/>
    <w:rsid w:val="009D36B2"/>
    <w:rsid w:val="009D3C48"/>
    <w:rsid w:val="009D480A"/>
    <w:rsid w:val="009E2747"/>
    <w:rsid w:val="009E336E"/>
    <w:rsid w:val="009E3CA2"/>
    <w:rsid w:val="009E4DC6"/>
    <w:rsid w:val="009E5020"/>
    <w:rsid w:val="009E5976"/>
    <w:rsid w:val="009F25E1"/>
    <w:rsid w:val="009F34DE"/>
    <w:rsid w:val="009F3EA5"/>
    <w:rsid w:val="009F3EA9"/>
    <w:rsid w:val="009F4992"/>
    <w:rsid w:val="009F517E"/>
    <w:rsid w:val="009F612E"/>
    <w:rsid w:val="009F7C70"/>
    <w:rsid w:val="00A00461"/>
    <w:rsid w:val="00A01955"/>
    <w:rsid w:val="00A02AEB"/>
    <w:rsid w:val="00A03D68"/>
    <w:rsid w:val="00A04F98"/>
    <w:rsid w:val="00A07ADB"/>
    <w:rsid w:val="00A12807"/>
    <w:rsid w:val="00A12C40"/>
    <w:rsid w:val="00A1391A"/>
    <w:rsid w:val="00A14A83"/>
    <w:rsid w:val="00A15C03"/>
    <w:rsid w:val="00A17892"/>
    <w:rsid w:val="00A20921"/>
    <w:rsid w:val="00A225C1"/>
    <w:rsid w:val="00A24819"/>
    <w:rsid w:val="00A2621F"/>
    <w:rsid w:val="00A26A8F"/>
    <w:rsid w:val="00A27C76"/>
    <w:rsid w:val="00A31248"/>
    <w:rsid w:val="00A32444"/>
    <w:rsid w:val="00A327D1"/>
    <w:rsid w:val="00A344F0"/>
    <w:rsid w:val="00A34615"/>
    <w:rsid w:val="00A347C2"/>
    <w:rsid w:val="00A35B2A"/>
    <w:rsid w:val="00A40370"/>
    <w:rsid w:val="00A40639"/>
    <w:rsid w:val="00A42A41"/>
    <w:rsid w:val="00A43965"/>
    <w:rsid w:val="00A43F1E"/>
    <w:rsid w:val="00A4412C"/>
    <w:rsid w:val="00A454F0"/>
    <w:rsid w:val="00A45F6C"/>
    <w:rsid w:val="00A4660E"/>
    <w:rsid w:val="00A467D2"/>
    <w:rsid w:val="00A474B5"/>
    <w:rsid w:val="00A516D2"/>
    <w:rsid w:val="00A526C6"/>
    <w:rsid w:val="00A52A62"/>
    <w:rsid w:val="00A533C9"/>
    <w:rsid w:val="00A53966"/>
    <w:rsid w:val="00A5465A"/>
    <w:rsid w:val="00A54DE4"/>
    <w:rsid w:val="00A55E2F"/>
    <w:rsid w:val="00A56BDC"/>
    <w:rsid w:val="00A602E7"/>
    <w:rsid w:val="00A60E9B"/>
    <w:rsid w:val="00A625D8"/>
    <w:rsid w:val="00A630DC"/>
    <w:rsid w:val="00A6342E"/>
    <w:rsid w:val="00A64EA1"/>
    <w:rsid w:val="00A65D1A"/>
    <w:rsid w:val="00A666A6"/>
    <w:rsid w:val="00A71548"/>
    <w:rsid w:val="00A720CF"/>
    <w:rsid w:val="00A72D55"/>
    <w:rsid w:val="00A73371"/>
    <w:rsid w:val="00A76AAE"/>
    <w:rsid w:val="00A774A4"/>
    <w:rsid w:val="00A77A69"/>
    <w:rsid w:val="00A77C35"/>
    <w:rsid w:val="00A81EAD"/>
    <w:rsid w:val="00A824A3"/>
    <w:rsid w:val="00A82838"/>
    <w:rsid w:val="00A85814"/>
    <w:rsid w:val="00A873E0"/>
    <w:rsid w:val="00A904A9"/>
    <w:rsid w:val="00A927B8"/>
    <w:rsid w:val="00A931DA"/>
    <w:rsid w:val="00A94BD4"/>
    <w:rsid w:val="00A95D46"/>
    <w:rsid w:val="00A963B1"/>
    <w:rsid w:val="00A96BB8"/>
    <w:rsid w:val="00A96BF2"/>
    <w:rsid w:val="00AA2219"/>
    <w:rsid w:val="00AA30B4"/>
    <w:rsid w:val="00AA36E7"/>
    <w:rsid w:val="00AA45A1"/>
    <w:rsid w:val="00AA4E2B"/>
    <w:rsid w:val="00AA64DD"/>
    <w:rsid w:val="00AA6A1B"/>
    <w:rsid w:val="00AB0F01"/>
    <w:rsid w:val="00AB0FCF"/>
    <w:rsid w:val="00AB2EAD"/>
    <w:rsid w:val="00AB6521"/>
    <w:rsid w:val="00AB65BC"/>
    <w:rsid w:val="00AB6D27"/>
    <w:rsid w:val="00AB7BBF"/>
    <w:rsid w:val="00AC01B4"/>
    <w:rsid w:val="00AC0D96"/>
    <w:rsid w:val="00AC14C8"/>
    <w:rsid w:val="00AC1EEA"/>
    <w:rsid w:val="00AC4631"/>
    <w:rsid w:val="00AC567D"/>
    <w:rsid w:val="00AC56E2"/>
    <w:rsid w:val="00AC6E94"/>
    <w:rsid w:val="00AD030F"/>
    <w:rsid w:val="00AD098E"/>
    <w:rsid w:val="00AD0FB9"/>
    <w:rsid w:val="00AD0FF8"/>
    <w:rsid w:val="00AD430C"/>
    <w:rsid w:val="00AD49E6"/>
    <w:rsid w:val="00AD61CB"/>
    <w:rsid w:val="00AE1A89"/>
    <w:rsid w:val="00AE2975"/>
    <w:rsid w:val="00AE2D9A"/>
    <w:rsid w:val="00AE3509"/>
    <w:rsid w:val="00AE4121"/>
    <w:rsid w:val="00AE5E1B"/>
    <w:rsid w:val="00AF60AB"/>
    <w:rsid w:val="00B069D3"/>
    <w:rsid w:val="00B1038A"/>
    <w:rsid w:val="00B10F81"/>
    <w:rsid w:val="00B11D84"/>
    <w:rsid w:val="00B12D38"/>
    <w:rsid w:val="00B1632F"/>
    <w:rsid w:val="00B212B3"/>
    <w:rsid w:val="00B26EC9"/>
    <w:rsid w:val="00B32770"/>
    <w:rsid w:val="00B33506"/>
    <w:rsid w:val="00B35405"/>
    <w:rsid w:val="00B377B5"/>
    <w:rsid w:val="00B40620"/>
    <w:rsid w:val="00B40BD3"/>
    <w:rsid w:val="00B41961"/>
    <w:rsid w:val="00B41BD3"/>
    <w:rsid w:val="00B42716"/>
    <w:rsid w:val="00B42A3A"/>
    <w:rsid w:val="00B42AAA"/>
    <w:rsid w:val="00B476B4"/>
    <w:rsid w:val="00B508E5"/>
    <w:rsid w:val="00B51002"/>
    <w:rsid w:val="00B5165A"/>
    <w:rsid w:val="00B52791"/>
    <w:rsid w:val="00B53EE2"/>
    <w:rsid w:val="00B547BB"/>
    <w:rsid w:val="00B54E9B"/>
    <w:rsid w:val="00B55C5B"/>
    <w:rsid w:val="00B566C4"/>
    <w:rsid w:val="00B61FA3"/>
    <w:rsid w:val="00B620F9"/>
    <w:rsid w:val="00B636B5"/>
    <w:rsid w:val="00B63D0E"/>
    <w:rsid w:val="00B65E24"/>
    <w:rsid w:val="00B65F1D"/>
    <w:rsid w:val="00B6682A"/>
    <w:rsid w:val="00B677CC"/>
    <w:rsid w:val="00B67F2E"/>
    <w:rsid w:val="00B7228F"/>
    <w:rsid w:val="00B724AA"/>
    <w:rsid w:val="00B73650"/>
    <w:rsid w:val="00B743B4"/>
    <w:rsid w:val="00B747D7"/>
    <w:rsid w:val="00B75F0D"/>
    <w:rsid w:val="00B7790D"/>
    <w:rsid w:val="00B77C6D"/>
    <w:rsid w:val="00B81B6C"/>
    <w:rsid w:val="00B829EB"/>
    <w:rsid w:val="00B8486F"/>
    <w:rsid w:val="00B852D6"/>
    <w:rsid w:val="00B85648"/>
    <w:rsid w:val="00B85F80"/>
    <w:rsid w:val="00B87B29"/>
    <w:rsid w:val="00B905AB"/>
    <w:rsid w:val="00B90F7B"/>
    <w:rsid w:val="00B919EC"/>
    <w:rsid w:val="00B9394F"/>
    <w:rsid w:val="00B93964"/>
    <w:rsid w:val="00B944A2"/>
    <w:rsid w:val="00B95C8D"/>
    <w:rsid w:val="00B967D8"/>
    <w:rsid w:val="00B96CAF"/>
    <w:rsid w:val="00BA0913"/>
    <w:rsid w:val="00BA2CA6"/>
    <w:rsid w:val="00BA2CB4"/>
    <w:rsid w:val="00BA6D9A"/>
    <w:rsid w:val="00BA6FC8"/>
    <w:rsid w:val="00BB26DD"/>
    <w:rsid w:val="00BB3037"/>
    <w:rsid w:val="00BB41D3"/>
    <w:rsid w:val="00BB7AF0"/>
    <w:rsid w:val="00BC034D"/>
    <w:rsid w:val="00BC39CA"/>
    <w:rsid w:val="00BC4822"/>
    <w:rsid w:val="00BC562D"/>
    <w:rsid w:val="00BC7636"/>
    <w:rsid w:val="00BD50BC"/>
    <w:rsid w:val="00BD5B2C"/>
    <w:rsid w:val="00BD6CBF"/>
    <w:rsid w:val="00BD6D6E"/>
    <w:rsid w:val="00BE33A2"/>
    <w:rsid w:val="00BE69CD"/>
    <w:rsid w:val="00BE6BA3"/>
    <w:rsid w:val="00BF0452"/>
    <w:rsid w:val="00BF06C3"/>
    <w:rsid w:val="00BF0751"/>
    <w:rsid w:val="00BF118F"/>
    <w:rsid w:val="00BF1F92"/>
    <w:rsid w:val="00BF2A83"/>
    <w:rsid w:val="00BF3E34"/>
    <w:rsid w:val="00BF448D"/>
    <w:rsid w:val="00BF4955"/>
    <w:rsid w:val="00BF704E"/>
    <w:rsid w:val="00C008F1"/>
    <w:rsid w:val="00C02C39"/>
    <w:rsid w:val="00C0714B"/>
    <w:rsid w:val="00C104EE"/>
    <w:rsid w:val="00C10994"/>
    <w:rsid w:val="00C114FA"/>
    <w:rsid w:val="00C116DB"/>
    <w:rsid w:val="00C118BF"/>
    <w:rsid w:val="00C11DF7"/>
    <w:rsid w:val="00C12676"/>
    <w:rsid w:val="00C12AD3"/>
    <w:rsid w:val="00C142FA"/>
    <w:rsid w:val="00C16A6B"/>
    <w:rsid w:val="00C17D32"/>
    <w:rsid w:val="00C21D34"/>
    <w:rsid w:val="00C2210B"/>
    <w:rsid w:val="00C23966"/>
    <w:rsid w:val="00C24B63"/>
    <w:rsid w:val="00C25B5C"/>
    <w:rsid w:val="00C26DBE"/>
    <w:rsid w:val="00C2736E"/>
    <w:rsid w:val="00C27E90"/>
    <w:rsid w:val="00C301AB"/>
    <w:rsid w:val="00C30F72"/>
    <w:rsid w:val="00C31349"/>
    <w:rsid w:val="00C326F0"/>
    <w:rsid w:val="00C337A3"/>
    <w:rsid w:val="00C33C04"/>
    <w:rsid w:val="00C35798"/>
    <w:rsid w:val="00C36283"/>
    <w:rsid w:val="00C40819"/>
    <w:rsid w:val="00C41F43"/>
    <w:rsid w:val="00C42AA4"/>
    <w:rsid w:val="00C444A7"/>
    <w:rsid w:val="00C4624B"/>
    <w:rsid w:val="00C50213"/>
    <w:rsid w:val="00C519E4"/>
    <w:rsid w:val="00C54937"/>
    <w:rsid w:val="00C56979"/>
    <w:rsid w:val="00C577B0"/>
    <w:rsid w:val="00C630F5"/>
    <w:rsid w:val="00C65872"/>
    <w:rsid w:val="00C669F7"/>
    <w:rsid w:val="00C70592"/>
    <w:rsid w:val="00C713F6"/>
    <w:rsid w:val="00C72B9D"/>
    <w:rsid w:val="00C7358C"/>
    <w:rsid w:val="00C74F44"/>
    <w:rsid w:val="00C750B0"/>
    <w:rsid w:val="00C75BA2"/>
    <w:rsid w:val="00C76113"/>
    <w:rsid w:val="00C764A1"/>
    <w:rsid w:val="00C76B84"/>
    <w:rsid w:val="00C803C9"/>
    <w:rsid w:val="00C81B0A"/>
    <w:rsid w:val="00C81D36"/>
    <w:rsid w:val="00C8283F"/>
    <w:rsid w:val="00C832FC"/>
    <w:rsid w:val="00C834E5"/>
    <w:rsid w:val="00C84857"/>
    <w:rsid w:val="00C84F78"/>
    <w:rsid w:val="00C856DA"/>
    <w:rsid w:val="00C870C1"/>
    <w:rsid w:val="00C8744E"/>
    <w:rsid w:val="00C90262"/>
    <w:rsid w:val="00C909D5"/>
    <w:rsid w:val="00C90ABF"/>
    <w:rsid w:val="00C91905"/>
    <w:rsid w:val="00C9300F"/>
    <w:rsid w:val="00C931A9"/>
    <w:rsid w:val="00C935FD"/>
    <w:rsid w:val="00C93BF1"/>
    <w:rsid w:val="00C95CF6"/>
    <w:rsid w:val="00CA0A77"/>
    <w:rsid w:val="00CA21AA"/>
    <w:rsid w:val="00CA278A"/>
    <w:rsid w:val="00CA3106"/>
    <w:rsid w:val="00CA489B"/>
    <w:rsid w:val="00CA5780"/>
    <w:rsid w:val="00CA61A8"/>
    <w:rsid w:val="00CA66D2"/>
    <w:rsid w:val="00CB11EE"/>
    <w:rsid w:val="00CB25D4"/>
    <w:rsid w:val="00CB4D1A"/>
    <w:rsid w:val="00CB517C"/>
    <w:rsid w:val="00CB5781"/>
    <w:rsid w:val="00CB5B91"/>
    <w:rsid w:val="00CB6C0E"/>
    <w:rsid w:val="00CB6C5C"/>
    <w:rsid w:val="00CB7049"/>
    <w:rsid w:val="00CB715B"/>
    <w:rsid w:val="00CB79DA"/>
    <w:rsid w:val="00CB7B68"/>
    <w:rsid w:val="00CC2A12"/>
    <w:rsid w:val="00CC3E57"/>
    <w:rsid w:val="00CC4F9E"/>
    <w:rsid w:val="00CC5E23"/>
    <w:rsid w:val="00CC6FCC"/>
    <w:rsid w:val="00CC7CE6"/>
    <w:rsid w:val="00CD07B9"/>
    <w:rsid w:val="00CD1F90"/>
    <w:rsid w:val="00CD2337"/>
    <w:rsid w:val="00CD257E"/>
    <w:rsid w:val="00CD5412"/>
    <w:rsid w:val="00CD5478"/>
    <w:rsid w:val="00CD5FB1"/>
    <w:rsid w:val="00CE2041"/>
    <w:rsid w:val="00CE26FA"/>
    <w:rsid w:val="00CE2CCC"/>
    <w:rsid w:val="00CE4D56"/>
    <w:rsid w:val="00CE4E65"/>
    <w:rsid w:val="00CE52D8"/>
    <w:rsid w:val="00CE5E19"/>
    <w:rsid w:val="00CE7F00"/>
    <w:rsid w:val="00CF107C"/>
    <w:rsid w:val="00CF12AD"/>
    <w:rsid w:val="00CF30B4"/>
    <w:rsid w:val="00CF4CD7"/>
    <w:rsid w:val="00CF5BAF"/>
    <w:rsid w:val="00CF5DEF"/>
    <w:rsid w:val="00CF68F8"/>
    <w:rsid w:val="00CF6E9D"/>
    <w:rsid w:val="00CF77FF"/>
    <w:rsid w:val="00D0106A"/>
    <w:rsid w:val="00D02506"/>
    <w:rsid w:val="00D04DBC"/>
    <w:rsid w:val="00D0587B"/>
    <w:rsid w:val="00D10E25"/>
    <w:rsid w:val="00D11193"/>
    <w:rsid w:val="00D14AFA"/>
    <w:rsid w:val="00D155F2"/>
    <w:rsid w:val="00D2404F"/>
    <w:rsid w:val="00D25DC1"/>
    <w:rsid w:val="00D26258"/>
    <w:rsid w:val="00D30217"/>
    <w:rsid w:val="00D308A7"/>
    <w:rsid w:val="00D31E50"/>
    <w:rsid w:val="00D33DDA"/>
    <w:rsid w:val="00D3409E"/>
    <w:rsid w:val="00D35296"/>
    <w:rsid w:val="00D36DC8"/>
    <w:rsid w:val="00D40BA5"/>
    <w:rsid w:val="00D416CC"/>
    <w:rsid w:val="00D41C01"/>
    <w:rsid w:val="00D42214"/>
    <w:rsid w:val="00D427C7"/>
    <w:rsid w:val="00D428FC"/>
    <w:rsid w:val="00D43FFE"/>
    <w:rsid w:val="00D454CC"/>
    <w:rsid w:val="00D46261"/>
    <w:rsid w:val="00D50A29"/>
    <w:rsid w:val="00D50BBA"/>
    <w:rsid w:val="00D50DD9"/>
    <w:rsid w:val="00D5508C"/>
    <w:rsid w:val="00D55F2B"/>
    <w:rsid w:val="00D56F57"/>
    <w:rsid w:val="00D57D87"/>
    <w:rsid w:val="00D601FA"/>
    <w:rsid w:val="00D62AC9"/>
    <w:rsid w:val="00D62E37"/>
    <w:rsid w:val="00D6302A"/>
    <w:rsid w:val="00D63FF0"/>
    <w:rsid w:val="00D64420"/>
    <w:rsid w:val="00D64F2F"/>
    <w:rsid w:val="00D65FAB"/>
    <w:rsid w:val="00D6651E"/>
    <w:rsid w:val="00D66578"/>
    <w:rsid w:val="00D665F2"/>
    <w:rsid w:val="00D711A1"/>
    <w:rsid w:val="00D71422"/>
    <w:rsid w:val="00D71858"/>
    <w:rsid w:val="00D735E6"/>
    <w:rsid w:val="00D767DF"/>
    <w:rsid w:val="00D802FB"/>
    <w:rsid w:val="00D820C5"/>
    <w:rsid w:val="00D82BD7"/>
    <w:rsid w:val="00D839A6"/>
    <w:rsid w:val="00D86F42"/>
    <w:rsid w:val="00D90316"/>
    <w:rsid w:val="00D90452"/>
    <w:rsid w:val="00D9078D"/>
    <w:rsid w:val="00D90D3A"/>
    <w:rsid w:val="00D922B4"/>
    <w:rsid w:val="00D92D4B"/>
    <w:rsid w:val="00D93846"/>
    <w:rsid w:val="00D93C17"/>
    <w:rsid w:val="00D9405F"/>
    <w:rsid w:val="00D94CFA"/>
    <w:rsid w:val="00D959B0"/>
    <w:rsid w:val="00D95DF4"/>
    <w:rsid w:val="00D961EB"/>
    <w:rsid w:val="00DA0502"/>
    <w:rsid w:val="00DA1317"/>
    <w:rsid w:val="00DA1401"/>
    <w:rsid w:val="00DA2162"/>
    <w:rsid w:val="00DA42A2"/>
    <w:rsid w:val="00DA51AE"/>
    <w:rsid w:val="00DA51B5"/>
    <w:rsid w:val="00DA550E"/>
    <w:rsid w:val="00DB1423"/>
    <w:rsid w:val="00DB4FE9"/>
    <w:rsid w:val="00DB54C2"/>
    <w:rsid w:val="00DB7DE0"/>
    <w:rsid w:val="00DC2DF7"/>
    <w:rsid w:val="00DC300E"/>
    <w:rsid w:val="00DC39B9"/>
    <w:rsid w:val="00DC4778"/>
    <w:rsid w:val="00DC5C4B"/>
    <w:rsid w:val="00DC5D70"/>
    <w:rsid w:val="00DD1259"/>
    <w:rsid w:val="00DD2091"/>
    <w:rsid w:val="00DD4353"/>
    <w:rsid w:val="00DD473B"/>
    <w:rsid w:val="00DD502C"/>
    <w:rsid w:val="00DD5F2D"/>
    <w:rsid w:val="00DD6656"/>
    <w:rsid w:val="00DD680A"/>
    <w:rsid w:val="00DD7767"/>
    <w:rsid w:val="00DD7CCD"/>
    <w:rsid w:val="00DE0FFD"/>
    <w:rsid w:val="00DE15EE"/>
    <w:rsid w:val="00DE1D87"/>
    <w:rsid w:val="00DE2117"/>
    <w:rsid w:val="00DE246B"/>
    <w:rsid w:val="00DE2A86"/>
    <w:rsid w:val="00DE4819"/>
    <w:rsid w:val="00DE5027"/>
    <w:rsid w:val="00DE5398"/>
    <w:rsid w:val="00DF1BB1"/>
    <w:rsid w:val="00DF2D52"/>
    <w:rsid w:val="00DF321F"/>
    <w:rsid w:val="00DF3709"/>
    <w:rsid w:val="00DF53AA"/>
    <w:rsid w:val="00DF5F17"/>
    <w:rsid w:val="00DF749C"/>
    <w:rsid w:val="00DF74FE"/>
    <w:rsid w:val="00E000DD"/>
    <w:rsid w:val="00E01DB7"/>
    <w:rsid w:val="00E01E53"/>
    <w:rsid w:val="00E03C26"/>
    <w:rsid w:val="00E042ED"/>
    <w:rsid w:val="00E0460D"/>
    <w:rsid w:val="00E04696"/>
    <w:rsid w:val="00E04D40"/>
    <w:rsid w:val="00E04E43"/>
    <w:rsid w:val="00E0622E"/>
    <w:rsid w:val="00E063AB"/>
    <w:rsid w:val="00E104DA"/>
    <w:rsid w:val="00E1114B"/>
    <w:rsid w:val="00E13B30"/>
    <w:rsid w:val="00E16221"/>
    <w:rsid w:val="00E1622E"/>
    <w:rsid w:val="00E16B6D"/>
    <w:rsid w:val="00E16E16"/>
    <w:rsid w:val="00E173CD"/>
    <w:rsid w:val="00E208F4"/>
    <w:rsid w:val="00E23B08"/>
    <w:rsid w:val="00E23E02"/>
    <w:rsid w:val="00E24DC6"/>
    <w:rsid w:val="00E2570B"/>
    <w:rsid w:val="00E25EA6"/>
    <w:rsid w:val="00E321F6"/>
    <w:rsid w:val="00E3229B"/>
    <w:rsid w:val="00E3301B"/>
    <w:rsid w:val="00E33075"/>
    <w:rsid w:val="00E3445C"/>
    <w:rsid w:val="00E363E7"/>
    <w:rsid w:val="00E366AA"/>
    <w:rsid w:val="00E36EEB"/>
    <w:rsid w:val="00E37319"/>
    <w:rsid w:val="00E4035F"/>
    <w:rsid w:val="00E40BFF"/>
    <w:rsid w:val="00E425D6"/>
    <w:rsid w:val="00E42ABF"/>
    <w:rsid w:val="00E43221"/>
    <w:rsid w:val="00E437A0"/>
    <w:rsid w:val="00E43B64"/>
    <w:rsid w:val="00E44320"/>
    <w:rsid w:val="00E463AA"/>
    <w:rsid w:val="00E47DAF"/>
    <w:rsid w:val="00E52549"/>
    <w:rsid w:val="00E52D61"/>
    <w:rsid w:val="00E54B21"/>
    <w:rsid w:val="00E55F11"/>
    <w:rsid w:val="00E57D9E"/>
    <w:rsid w:val="00E611BC"/>
    <w:rsid w:val="00E62032"/>
    <w:rsid w:val="00E6226B"/>
    <w:rsid w:val="00E62D7E"/>
    <w:rsid w:val="00E63469"/>
    <w:rsid w:val="00E64FFA"/>
    <w:rsid w:val="00E67558"/>
    <w:rsid w:val="00E67869"/>
    <w:rsid w:val="00E71732"/>
    <w:rsid w:val="00E727D1"/>
    <w:rsid w:val="00E72D7E"/>
    <w:rsid w:val="00E7458B"/>
    <w:rsid w:val="00E75938"/>
    <w:rsid w:val="00E7604B"/>
    <w:rsid w:val="00E7658C"/>
    <w:rsid w:val="00E7751B"/>
    <w:rsid w:val="00E81A33"/>
    <w:rsid w:val="00E82EEB"/>
    <w:rsid w:val="00E83123"/>
    <w:rsid w:val="00E83464"/>
    <w:rsid w:val="00E8375F"/>
    <w:rsid w:val="00E840FF"/>
    <w:rsid w:val="00E8412F"/>
    <w:rsid w:val="00E84409"/>
    <w:rsid w:val="00E85E64"/>
    <w:rsid w:val="00E8635F"/>
    <w:rsid w:val="00E92564"/>
    <w:rsid w:val="00E94D8B"/>
    <w:rsid w:val="00E9512A"/>
    <w:rsid w:val="00E963B1"/>
    <w:rsid w:val="00E9703E"/>
    <w:rsid w:val="00E970E8"/>
    <w:rsid w:val="00E9779D"/>
    <w:rsid w:val="00EA0530"/>
    <w:rsid w:val="00EA1237"/>
    <w:rsid w:val="00EA2F8E"/>
    <w:rsid w:val="00EA35B5"/>
    <w:rsid w:val="00EA4B28"/>
    <w:rsid w:val="00EA54AD"/>
    <w:rsid w:val="00EA5A75"/>
    <w:rsid w:val="00EA72E9"/>
    <w:rsid w:val="00EA7EDB"/>
    <w:rsid w:val="00EB08EE"/>
    <w:rsid w:val="00EB13FF"/>
    <w:rsid w:val="00EB354E"/>
    <w:rsid w:val="00EB552C"/>
    <w:rsid w:val="00EB5BB0"/>
    <w:rsid w:val="00EB5DAB"/>
    <w:rsid w:val="00EB6115"/>
    <w:rsid w:val="00EB745B"/>
    <w:rsid w:val="00EC099F"/>
    <w:rsid w:val="00EC18C7"/>
    <w:rsid w:val="00EC2402"/>
    <w:rsid w:val="00EC4902"/>
    <w:rsid w:val="00EC5BE9"/>
    <w:rsid w:val="00EC7765"/>
    <w:rsid w:val="00ED2D90"/>
    <w:rsid w:val="00ED6D37"/>
    <w:rsid w:val="00ED7361"/>
    <w:rsid w:val="00EE114D"/>
    <w:rsid w:val="00EE17C1"/>
    <w:rsid w:val="00EE3018"/>
    <w:rsid w:val="00EE3417"/>
    <w:rsid w:val="00EE37BF"/>
    <w:rsid w:val="00EE48A5"/>
    <w:rsid w:val="00EE68DF"/>
    <w:rsid w:val="00EE708D"/>
    <w:rsid w:val="00EF42D2"/>
    <w:rsid w:val="00EF4704"/>
    <w:rsid w:val="00EF4A1D"/>
    <w:rsid w:val="00EF7E6C"/>
    <w:rsid w:val="00F008D3"/>
    <w:rsid w:val="00F02993"/>
    <w:rsid w:val="00F02B64"/>
    <w:rsid w:val="00F04F55"/>
    <w:rsid w:val="00F064CE"/>
    <w:rsid w:val="00F1002A"/>
    <w:rsid w:val="00F100D8"/>
    <w:rsid w:val="00F1109D"/>
    <w:rsid w:val="00F12A78"/>
    <w:rsid w:val="00F13A32"/>
    <w:rsid w:val="00F13CEF"/>
    <w:rsid w:val="00F152B3"/>
    <w:rsid w:val="00F15483"/>
    <w:rsid w:val="00F155E3"/>
    <w:rsid w:val="00F16450"/>
    <w:rsid w:val="00F16ECE"/>
    <w:rsid w:val="00F170D4"/>
    <w:rsid w:val="00F20499"/>
    <w:rsid w:val="00F204DF"/>
    <w:rsid w:val="00F234E9"/>
    <w:rsid w:val="00F2353F"/>
    <w:rsid w:val="00F239FB"/>
    <w:rsid w:val="00F2471D"/>
    <w:rsid w:val="00F2560C"/>
    <w:rsid w:val="00F26EE6"/>
    <w:rsid w:val="00F27EFA"/>
    <w:rsid w:val="00F310D9"/>
    <w:rsid w:val="00F31A1D"/>
    <w:rsid w:val="00F31B14"/>
    <w:rsid w:val="00F31F3A"/>
    <w:rsid w:val="00F32A7A"/>
    <w:rsid w:val="00F35CC7"/>
    <w:rsid w:val="00F35F15"/>
    <w:rsid w:val="00F36182"/>
    <w:rsid w:val="00F410AB"/>
    <w:rsid w:val="00F426C8"/>
    <w:rsid w:val="00F42C8C"/>
    <w:rsid w:val="00F43BDE"/>
    <w:rsid w:val="00F44E86"/>
    <w:rsid w:val="00F45617"/>
    <w:rsid w:val="00F45A2B"/>
    <w:rsid w:val="00F46406"/>
    <w:rsid w:val="00F52776"/>
    <w:rsid w:val="00F54BE5"/>
    <w:rsid w:val="00F57194"/>
    <w:rsid w:val="00F61108"/>
    <w:rsid w:val="00F61848"/>
    <w:rsid w:val="00F62FDA"/>
    <w:rsid w:val="00F63A56"/>
    <w:rsid w:val="00F64115"/>
    <w:rsid w:val="00F6465A"/>
    <w:rsid w:val="00F64A46"/>
    <w:rsid w:val="00F66B9B"/>
    <w:rsid w:val="00F66C7F"/>
    <w:rsid w:val="00F70AA0"/>
    <w:rsid w:val="00F70B5E"/>
    <w:rsid w:val="00F70EAB"/>
    <w:rsid w:val="00F7331C"/>
    <w:rsid w:val="00F73B19"/>
    <w:rsid w:val="00F74344"/>
    <w:rsid w:val="00F76394"/>
    <w:rsid w:val="00F826B2"/>
    <w:rsid w:val="00F82AC9"/>
    <w:rsid w:val="00F8558A"/>
    <w:rsid w:val="00F85C45"/>
    <w:rsid w:val="00F8720D"/>
    <w:rsid w:val="00F87445"/>
    <w:rsid w:val="00F90F2D"/>
    <w:rsid w:val="00F91FE8"/>
    <w:rsid w:val="00F951D5"/>
    <w:rsid w:val="00F9533D"/>
    <w:rsid w:val="00F9647B"/>
    <w:rsid w:val="00FA08BE"/>
    <w:rsid w:val="00FA1120"/>
    <w:rsid w:val="00FA1908"/>
    <w:rsid w:val="00FA292B"/>
    <w:rsid w:val="00FA3EB0"/>
    <w:rsid w:val="00FA4D72"/>
    <w:rsid w:val="00FA73F9"/>
    <w:rsid w:val="00FB15E7"/>
    <w:rsid w:val="00FB20B4"/>
    <w:rsid w:val="00FB4377"/>
    <w:rsid w:val="00FB5187"/>
    <w:rsid w:val="00FB55C0"/>
    <w:rsid w:val="00FB5736"/>
    <w:rsid w:val="00FB7F62"/>
    <w:rsid w:val="00FC032A"/>
    <w:rsid w:val="00FC121A"/>
    <w:rsid w:val="00FC35E5"/>
    <w:rsid w:val="00FC3F76"/>
    <w:rsid w:val="00FC4953"/>
    <w:rsid w:val="00FC54E5"/>
    <w:rsid w:val="00FC5A3C"/>
    <w:rsid w:val="00FC6E25"/>
    <w:rsid w:val="00FD09C2"/>
    <w:rsid w:val="00FD387E"/>
    <w:rsid w:val="00FD5216"/>
    <w:rsid w:val="00FD5602"/>
    <w:rsid w:val="00FD7B18"/>
    <w:rsid w:val="00FE0797"/>
    <w:rsid w:val="00FE09A1"/>
    <w:rsid w:val="00FE5A44"/>
    <w:rsid w:val="00FE63A2"/>
    <w:rsid w:val="00FF0EF4"/>
    <w:rsid w:val="00FF118D"/>
    <w:rsid w:val="00FF3BD1"/>
    <w:rsid w:val="00FF5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7753"/>
  <w15:docId w15:val="{C80DFA16-53C9-4AC7-8F53-850B3F6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41"/>
    <w:pPr>
      <w:spacing w:after="120" w:line="240" w:lineRule="auto"/>
      <w:jc w:val="both"/>
    </w:pPr>
    <w:rPr>
      <w:rFonts w:ascii="Arial" w:hAnsi="Arial"/>
      <w:sz w:val="24"/>
    </w:rPr>
  </w:style>
  <w:style w:type="paragraph" w:styleId="Ttulo1">
    <w:name w:val="heading 1"/>
    <w:basedOn w:val="Normal"/>
    <w:next w:val="Normal"/>
    <w:link w:val="Ttulo1Car"/>
    <w:uiPriority w:val="9"/>
    <w:qFormat/>
    <w:rsid w:val="001548C1"/>
    <w:pPr>
      <w:keepNext/>
      <w:keepLines/>
      <w:pageBreakBefore/>
      <w:jc w:val="center"/>
      <w:outlineLvl w:val="0"/>
    </w:pPr>
    <w:rPr>
      <w:rFonts w:eastAsiaTheme="majorEastAsia" w:cstheme="majorBidi"/>
      <w:b/>
      <w:bCs/>
      <w:color w:val="000000" w:themeColor="text1"/>
      <w:szCs w:val="28"/>
    </w:rPr>
  </w:style>
  <w:style w:type="paragraph" w:styleId="Ttulo2">
    <w:name w:val="heading 2"/>
    <w:basedOn w:val="Normal"/>
    <w:next w:val="Normal"/>
    <w:link w:val="Ttulo2Car"/>
    <w:uiPriority w:val="9"/>
    <w:unhideWhenUsed/>
    <w:qFormat/>
    <w:rsid w:val="001548C1"/>
    <w:pPr>
      <w:keepNext/>
      <w:keepLines/>
      <w:jc w:val="left"/>
      <w:outlineLvl w:val="1"/>
    </w:pPr>
    <w:rPr>
      <w:rFonts w:eastAsiaTheme="majorEastAsia" w:cstheme="majorBidi"/>
      <w:b/>
      <w:bCs/>
      <w:color w:val="000000" w:themeColor="text1"/>
      <w:szCs w:val="26"/>
    </w:rPr>
  </w:style>
  <w:style w:type="paragraph" w:styleId="Ttulo3">
    <w:name w:val="heading 3"/>
    <w:basedOn w:val="Normal"/>
    <w:next w:val="Normal"/>
    <w:link w:val="Ttulo3Car"/>
    <w:uiPriority w:val="9"/>
    <w:unhideWhenUsed/>
    <w:qFormat/>
    <w:rsid w:val="00453AF0"/>
    <w:pPr>
      <w:keepNext/>
      <w:keepLines/>
      <w:spacing w:before="240" w:line="480" w:lineRule="auto"/>
      <w:jc w:val="left"/>
      <w:outlineLvl w:val="2"/>
    </w:pPr>
    <w:rPr>
      <w:rFonts w:eastAsiaTheme="majorEastAsia" w:cstheme="majorBidi"/>
      <w:b/>
      <w:bCs/>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48C1"/>
    <w:rPr>
      <w:rFonts w:ascii="Arial" w:eastAsiaTheme="majorEastAsia" w:hAnsi="Arial" w:cstheme="majorBidi"/>
      <w:b/>
      <w:bCs/>
      <w:color w:val="000000" w:themeColor="text1"/>
      <w:sz w:val="24"/>
      <w:szCs w:val="28"/>
    </w:rPr>
  </w:style>
  <w:style w:type="character" w:customStyle="1" w:styleId="Ttulo2Car">
    <w:name w:val="Título 2 Car"/>
    <w:basedOn w:val="Fuentedeprrafopredeter"/>
    <w:link w:val="Ttulo2"/>
    <w:uiPriority w:val="9"/>
    <w:rsid w:val="001548C1"/>
    <w:rPr>
      <w:rFonts w:ascii="Arial" w:eastAsiaTheme="majorEastAsia" w:hAnsi="Arial" w:cstheme="majorBidi"/>
      <w:b/>
      <w:bCs/>
      <w:color w:val="000000" w:themeColor="text1"/>
      <w:sz w:val="24"/>
      <w:szCs w:val="26"/>
    </w:rPr>
  </w:style>
  <w:style w:type="paragraph" w:styleId="NormalWeb">
    <w:name w:val="Normal (Web)"/>
    <w:basedOn w:val="Normal"/>
    <w:uiPriority w:val="99"/>
    <w:unhideWhenUsed/>
    <w:qFormat/>
    <w:rsid w:val="0075647C"/>
    <w:pPr>
      <w:spacing w:before="100" w:beforeAutospacing="1" w:after="100" w:afterAutospacing="1"/>
      <w:jc w:val="left"/>
    </w:pPr>
    <w:rPr>
      <w:rFonts w:ascii="Times New Roman" w:eastAsia="Times New Roman" w:hAnsi="Times New Roman" w:cs="Times New Roman"/>
      <w:szCs w:val="24"/>
      <w:lang w:eastAsia="es-CO"/>
    </w:rPr>
  </w:style>
  <w:style w:type="paragraph" w:styleId="Encabezado">
    <w:name w:val="header"/>
    <w:basedOn w:val="Normal"/>
    <w:link w:val="EncabezadoCar"/>
    <w:unhideWhenUsed/>
    <w:rsid w:val="00DD7767"/>
    <w:pPr>
      <w:tabs>
        <w:tab w:val="center" w:pos="4419"/>
        <w:tab w:val="right" w:pos="8838"/>
      </w:tabs>
      <w:spacing w:after="0"/>
    </w:pPr>
  </w:style>
  <w:style w:type="character" w:customStyle="1" w:styleId="EncabezadoCar">
    <w:name w:val="Encabezado Car"/>
    <w:basedOn w:val="Fuentedeprrafopredeter"/>
    <w:link w:val="Encabezado"/>
    <w:rsid w:val="00DD7767"/>
    <w:rPr>
      <w:rFonts w:ascii="Arial" w:hAnsi="Arial"/>
      <w:sz w:val="24"/>
    </w:rPr>
  </w:style>
  <w:style w:type="paragraph" w:styleId="Piedepgina">
    <w:name w:val="footer"/>
    <w:basedOn w:val="Normal"/>
    <w:link w:val="PiedepginaCar"/>
    <w:uiPriority w:val="99"/>
    <w:unhideWhenUsed/>
    <w:qFormat/>
    <w:rsid w:val="00DD7767"/>
    <w:pPr>
      <w:tabs>
        <w:tab w:val="center" w:pos="4419"/>
        <w:tab w:val="right" w:pos="8838"/>
      </w:tabs>
      <w:spacing w:after="0"/>
    </w:pPr>
  </w:style>
  <w:style w:type="character" w:customStyle="1" w:styleId="PiedepginaCar">
    <w:name w:val="Pie de página Car"/>
    <w:basedOn w:val="Fuentedeprrafopredeter"/>
    <w:link w:val="Piedepgina"/>
    <w:uiPriority w:val="99"/>
    <w:rsid w:val="00DD7767"/>
    <w:rPr>
      <w:rFonts w:ascii="Arial" w:hAnsi="Arial"/>
      <w:sz w:val="24"/>
    </w:rPr>
  </w:style>
  <w:style w:type="paragraph" w:styleId="Textonotapie">
    <w:name w:val="footnote text"/>
    <w:basedOn w:val="Normal"/>
    <w:link w:val="TextonotapieCar"/>
    <w:uiPriority w:val="99"/>
    <w:unhideWhenUsed/>
    <w:rsid w:val="00216FBA"/>
    <w:pPr>
      <w:spacing w:after="0"/>
    </w:pPr>
    <w:rPr>
      <w:sz w:val="20"/>
      <w:szCs w:val="20"/>
    </w:rPr>
  </w:style>
  <w:style w:type="character" w:customStyle="1" w:styleId="TextonotapieCar">
    <w:name w:val="Texto nota pie Car"/>
    <w:basedOn w:val="Fuentedeprrafopredeter"/>
    <w:link w:val="Textonotapie"/>
    <w:uiPriority w:val="99"/>
    <w:rsid w:val="00216FBA"/>
    <w:rPr>
      <w:rFonts w:ascii="Arial" w:hAnsi="Arial"/>
      <w:sz w:val="20"/>
      <w:szCs w:val="20"/>
    </w:rPr>
  </w:style>
  <w:style w:type="character" w:styleId="Refdenotaalpie">
    <w:name w:val="footnote reference"/>
    <w:basedOn w:val="Fuentedeprrafopredeter"/>
    <w:uiPriority w:val="99"/>
    <w:semiHidden/>
    <w:unhideWhenUsed/>
    <w:rsid w:val="00216FBA"/>
    <w:rPr>
      <w:vertAlign w:val="superscript"/>
    </w:rPr>
  </w:style>
  <w:style w:type="character" w:styleId="Hipervnculo">
    <w:name w:val="Hyperlink"/>
    <w:basedOn w:val="Fuentedeprrafopredeter"/>
    <w:uiPriority w:val="99"/>
    <w:unhideWhenUsed/>
    <w:rsid w:val="003D4246"/>
    <w:rPr>
      <w:color w:val="0000FF" w:themeColor="hyperlink"/>
      <w:u w:val="single"/>
    </w:rPr>
  </w:style>
  <w:style w:type="paragraph" w:customStyle="1" w:styleId="Textoartculo">
    <w:name w:val="Texto artículo"/>
    <w:basedOn w:val="Normal"/>
    <w:rsid w:val="000E5577"/>
    <w:pPr>
      <w:spacing w:after="0"/>
      <w:ind w:firstLine="198"/>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4134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345"/>
    <w:rPr>
      <w:rFonts w:ascii="Tahoma" w:hAnsi="Tahoma" w:cs="Tahoma"/>
      <w:sz w:val="16"/>
      <w:szCs w:val="16"/>
    </w:rPr>
  </w:style>
  <w:style w:type="paragraph" w:customStyle="1" w:styleId="Ttuloseccin">
    <w:name w:val="Título sección"/>
    <w:basedOn w:val="Normal"/>
    <w:rsid w:val="00FA292B"/>
    <w:pPr>
      <w:spacing w:after="0"/>
      <w:ind w:left="-11"/>
      <w:jc w:val="center"/>
    </w:pPr>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C25B5C"/>
    <w:pPr>
      <w:ind w:left="720"/>
      <w:contextualSpacing/>
    </w:pPr>
  </w:style>
  <w:style w:type="paragraph" w:customStyle="1" w:styleId="Textoindependiente21">
    <w:name w:val="Texto independiente 21"/>
    <w:basedOn w:val="Normal"/>
    <w:rsid w:val="00E85E64"/>
    <w:pPr>
      <w:spacing w:after="0"/>
    </w:pPr>
    <w:rPr>
      <w:rFonts w:ascii="Korinna BT" w:eastAsia="Times New Roman" w:hAnsi="Korinna BT" w:cs="Times New Roman"/>
      <w:sz w:val="20"/>
      <w:szCs w:val="20"/>
      <w:lang w:val="es-ES" w:eastAsia="es-ES"/>
    </w:rPr>
  </w:style>
  <w:style w:type="paragraph" w:styleId="Bibliografa">
    <w:name w:val="Bibliography"/>
    <w:basedOn w:val="Normal"/>
    <w:next w:val="Normal"/>
    <w:uiPriority w:val="37"/>
    <w:unhideWhenUsed/>
    <w:rsid w:val="00E208F4"/>
    <w:pPr>
      <w:spacing w:after="200" w:line="276" w:lineRule="auto"/>
      <w:jc w:val="left"/>
    </w:pPr>
    <w:rPr>
      <w:rFonts w:asciiTheme="minorHAnsi" w:hAnsiTheme="minorHAnsi"/>
      <w:sz w:val="22"/>
      <w:lang w:val="es-ES"/>
    </w:rPr>
  </w:style>
  <w:style w:type="paragraph" w:styleId="TtuloTDC">
    <w:name w:val="TOC Heading"/>
    <w:basedOn w:val="Ttulo1"/>
    <w:next w:val="Normal"/>
    <w:uiPriority w:val="39"/>
    <w:qFormat/>
    <w:rsid w:val="00E208F4"/>
    <w:pPr>
      <w:pageBreakBefore w:val="0"/>
      <w:spacing w:before="240" w:after="0" w:line="259" w:lineRule="auto"/>
      <w:jc w:val="left"/>
      <w:outlineLvl w:val="9"/>
    </w:pPr>
    <w:rPr>
      <w:rFonts w:ascii="Calibri Light" w:eastAsia="Times New Roman" w:hAnsi="Calibri Light" w:cs="Times New Roman"/>
      <w:b w:val="0"/>
      <w:bCs w:val="0"/>
      <w:color w:val="2E74B5"/>
      <w:sz w:val="32"/>
      <w:szCs w:val="32"/>
      <w:lang w:val="es-ES" w:eastAsia="es-ES"/>
    </w:rPr>
  </w:style>
  <w:style w:type="paragraph" w:styleId="Descripcin">
    <w:name w:val="caption"/>
    <w:basedOn w:val="Normal"/>
    <w:next w:val="Normal"/>
    <w:uiPriority w:val="35"/>
    <w:unhideWhenUsed/>
    <w:qFormat/>
    <w:rsid w:val="00E208F4"/>
    <w:pPr>
      <w:spacing w:after="200"/>
    </w:pPr>
    <w:rPr>
      <w:b/>
      <w:bCs/>
      <w:color w:val="4F81BD" w:themeColor="accent1"/>
      <w:sz w:val="18"/>
      <w:szCs w:val="18"/>
    </w:rPr>
  </w:style>
  <w:style w:type="paragraph" w:customStyle="1" w:styleId="TableParagraph">
    <w:name w:val="Table Paragraph"/>
    <w:basedOn w:val="Normal"/>
    <w:uiPriority w:val="1"/>
    <w:qFormat/>
    <w:rsid w:val="00292F59"/>
    <w:pPr>
      <w:autoSpaceDE w:val="0"/>
      <w:autoSpaceDN w:val="0"/>
      <w:adjustRightInd w:val="0"/>
      <w:spacing w:after="0"/>
    </w:pPr>
    <w:rPr>
      <w:rFonts w:eastAsiaTheme="minorEastAsia"/>
      <w:sz w:val="16"/>
      <w:lang w:val="es-VE" w:eastAsia="es-VE"/>
    </w:rPr>
  </w:style>
  <w:style w:type="table" w:customStyle="1" w:styleId="TableNormal1">
    <w:name w:val="Table Normal1"/>
    <w:uiPriority w:val="2"/>
    <w:semiHidden/>
    <w:unhideWhenUsed/>
    <w:qFormat/>
    <w:rsid w:val="00292F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134B6F"/>
    <w:pPr>
      <w:spacing w:after="160" w:line="252" w:lineRule="auto"/>
      <w:jc w:val="both"/>
    </w:pPr>
    <w:rPr>
      <w:rFonts w:eastAsiaTheme="minorEastAsia"/>
      <w:lang w:val="es-VE"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432BC3"/>
    <w:pPr>
      <w:spacing w:after="0" w:line="360" w:lineRule="auto"/>
    </w:pPr>
    <w:rPr>
      <w:rFonts w:eastAsia="Calibri" w:cs="Times New Roman"/>
      <w:szCs w:val="24"/>
      <w:lang w:val="es-ES" w:eastAsia="es-ES"/>
    </w:rPr>
  </w:style>
  <w:style w:type="character" w:customStyle="1" w:styleId="TextoindependienteCar">
    <w:name w:val="Texto independiente Car"/>
    <w:basedOn w:val="Fuentedeprrafopredeter"/>
    <w:link w:val="Textoindependiente"/>
    <w:rsid w:val="00432BC3"/>
    <w:rPr>
      <w:rFonts w:ascii="Arial" w:eastAsia="Calibri" w:hAnsi="Arial" w:cs="Times New Roman"/>
      <w:sz w:val="24"/>
      <w:szCs w:val="24"/>
      <w:lang w:val="es-ES" w:eastAsia="es-ES"/>
    </w:rPr>
  </w:style>
  <w:style w:type="character" w:customStyle="1" w:styleId="reference-accessdate">
    <w:name w:val="reference-accessdate"/>
    <w:basedOn w:val="Fuentedeprrafopredeter"/>
    <w:rsid w:val="00CA5780"/>
  </w:style>
  <w:style w:type="character" w:customStyle="1" w:styleId="nowrap">
    <w:name w:val="nowrap"/>
    <w:basedOn w:val="Fuentedeprrafopredeter"/>
    <w:rsid w:val="00CA5780"/>
  </w:style>
  <w:style w:type="character" w:styleId="nfasis">
    <w:name w:val="Emphasis"/>
    <w:basedOn w:val="Fuentedeprrafopredeter"/>
    <w:uiPriority w:val="20"/>
    <w:qFormat/>
    <w:rsid w:val="00EF4704"/>
    <w:rPr>
      <w:i/>
      <w:iCs/>
    </w:rPr>
  </w:style>
  <w:style w:type="paragraph" w:styleId="Textonotaalfinal">
    <w:name w:val="endnote text"/>
    <w:basedOn w:val="Normal"/>
    <w:link w:val="TextonotaalfinalCar"/>
    <w:uiPriority w:val="99"/>
    <w:semiHidden/>
    <w:unhideWhenUsed/>
    <w:rsid w:val="004009B4"/>
    <w:pPr>
      <w:spacing w:after="0"/>
    </w:pPr>
    <w:rPr>
      <w:sz w:val="20"/>
      <w:szCs w:val="20"/>
    </w:rPr>
  </w:style>
  <w:style w:type="character" w:customStyle="1" w:styleId="TextonotaalfinalCar">
    <w:name w:val="Texto nota al final Car"/>
    <w:basedOn w:val="Fuentedeprrafopredeter"/>
    <w:link w:val="Textonotaalfinal"/>
    <w:uiPriority w:val="99"/>
    <w:semiHidden/>
    <w:rsid w:val="004009B4"/>
    <w:rPr>
      <w:rFonts w:ascii="Arial" w:hAnsi="Arial"/>
      <w:sz w:val="20"/>
      <w:szCs w:val="20"/>
    </w:rPr>
  </w:style>
  <w:style w:type="character" w:styleId="Refdenotaalfinal">
    <w:name w:val="endnote reference"/>
    <w:basedOn w:val="Fuentedeprrafopredeter"/>
    <w:uiPriority w:val="99"/>
    <w:semiHidden/>
    <w:unhideWhenUsed/>
    <w:rsid w:val="004009B4"/>
    <w:rPr>
      <w:vertAlign w:val="superscript"/>
    </w:rPr>
  </w:style>
  <w:style w:type="character" w:styleId="Refdecomentario">
    <w:name w:val="annotation reference"/>
    <w:basedOn w:val="Fuentedeprrafopredeter"/>
    <w:uiPriority w:val="99"/>
    <w:semiHidden/>
    <w:unhideWhenUsed/>
    <w:rsid w:val="0066299A"/>
    <w:rPr>
      <w:sz w:val="16"/>
      <w:szCs w:val="16"/>
    </w:rPr>
  </w:style>
  <w:style w:type="paragraph" w:styleId="Textocomentario">
    <w:name w:val="annotation text"/>
    <w:basedOn w:val="Normal"/>
    <w:link w:val="TextocomentarioCar"/>
    <w:uiPriority w:val="99"/>
    <w:semiHidden/>
    <w:unhideWhenUsed/>
    <w:rsid w:val="0066299A"/>
    <w:rPr>
      <w:sz w:val="20"/>
      <w:szCs w:val="20"/>
    </w:rPr>
  </w:style>
  <w:style w:type="character" w:customStyle="1" w:styleId="TextocomentarioCar">
    <w:name w:val="Texto comentario Car"/>
    <w:basedOn w:val="Fuentedeprrafopredeter"/>
    <w:link w:val="Textocomentario"/>
    <w:uiPriority w:val="99"/>
    <w:semiHidden/>
    <w:rsid w:val="0066299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6299A"/>
    <w:rPr>
      <w:b/>
      <w:bCs/>
    </w:rPr>
  </w:style>
  <w:style w:type="character" w:customStyle="1" w:styleId="AsuntodelcomentarioCar">
    <w:name w:val="Asunto del comentario Car"/>
    <w:basedOn w:val="TextocomentarioCar"/>
    <w:link w:val="Asuntodelcomentario"/>
    <w:uiPriority w:val="99"/>
    <w:semiHidden/>
    <w:rsid w:val="0066299A"/>
    <w:rPr>
      <w:rFonts w:ascii="Arial" w:hAnsi="Arial"/>
      <w:b/>
      <w:bCs/>
      <w:sz w:val="20"/>
      <w:szCs w:val="20"/>
    </w:rPr>
  </w:style>
  <w:style w:type="paragraph" w:customStyle="1" w:styleId="CorpoA">
    <w:name w:val="Corpo A"/>
    <w:rsid w:val="003358D1"/>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pt-PT" w:eastAsia="pt-BR"/>
    </w:rPr>
  </w:style>
  <w:style w:type="paragraph" w:customStyle="1" w:styleId="PadroA">
    <w:name w:val="Padrão A"/>
    <w:rsid w:val="003358D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pt-PT" w:eastAsia="pt-BR"/>
    </w:rPr>
  </w:style>
  <w:style w:type="paragraph" w:customStyle="1" w:styleId="Corpo">
    <w:name w:val="Corpo"/>
    <w:rsid w:val="003358D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pt-PT" w:eastAsia="pt-BR"/>
    </w:rPr>
  </w:style>
  <w:style w:type="numbering" w:customStyle="1" w:styleId="EstiloImportado3">
    <w:name w:val="Estilo Importado 3"/>
    <w:rsid w:val="00764BF2"/>
    <w:pPr>
      <w:numPr>
        <w:numId w:val="1"/>
      </w:numPr>
    </w:pPr>
  </w:style>
  <w:style w:type="numbering" w:customStyle="1" w:styleId="EstiloImportado4">
    <w:name w:val="Estilo Importado 4"/>
    <w:rsid w:val="00764BF2"/>
    <w:pPr>
      <w:numPr>
        <w:numId w:val="2"/>
      </w:numPr>
    </w:pPr>
  </w:style>
  <w:style w:type="numbering" w:customStyle="1" w:styleId="EstiloImportado6">
    <w:name w:val="Estilo Importado 6"/>
    <w:rsid w:val="00764BF2"/>
    <w:pPr>
      <w:numPr>
        <w:numId w:val="3"/>
      </w:numPr>
    </w:pPr>
  </w:style>
  <w:style w:type="numbering" w:customStyle="1" w:styleId="EstiloImportado8">
    <w:name w:val="Estilo Importado 8"/>
    <w:rsid w:val="00764BF2"/>
    <w:pPr>
      <w:numPr>
        <w:numId w:val="4"/>
      </w:numPr>
    </w:pPr>
  </w:style>
  <w:style w:type="paragraph" w:customStyle="1" w:styleId="Padro">
    <w:name w:val="Padrão"/>
    <w:rsid w:val="00764BF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pt-BR" w:eastAsia="pt-BR"/>
    </w:rPr>
  </w:style>
  <w:style w:type="paragraph" w:customStyle="1" w:styleId="PadroAA">
    <w:name w:val="Padrão A A"/>
    <w:rsid w:val="00764BF2"/>
    <w:pPr>
      <w:pBdr>
        <w:top w:val="nil"/>
        <w:left w:val="nil"/>
        <w:bottom w:val="nil"/>
        <w:right w:val="nil"/>
        <w:between w:val="nil"/>
        <w:bar w:val="nil"/>
      </w:pBdr>
      <w:suppressAutoHyphens/>
      <w:spacing w:after="0" w:line="240" w:lineRule="auto"/>
    </w:pPr>
    <w:rPr>
      <w:rFonts w:ascii="Helvetica" w:eastAsia="Helvetica" w:hAnsi="Helvetica" w:cs="Helvetica"/>
      <w:color w:val="000000"/>
      <w:u w:color="000000"/>
      <w:bdr w:val="nil"/>
      <w:lang w:val="pt-PT" w:eastAsia="pt-BR"/>
    </w:rPr>
  </w:style>
  <w:style w:type="numbering" w:customStyle="1" w:styleId="EstiloImportado1">
    <w:name w:val="Estilo Importado 1"/>
    <w:rsid w:val="00764BF2"/>
    <w:pPr>
      <w:numPr>
        <w:numId w:val="5"/>
      </w:numPr>
    </w:pPr>
  </w:style>
  <w:style w:type="paragraph" w:customStyle="1" w:styleId="EstilodeTabela2">
    <w:name w:val="Estilo de Tabela 2"/>
    <w:rsid w:val="00764BF2"/>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pt-BR" w:eastAsia="pt-BR"/>
    </w:rPr>
  </w:style>
  <w:style w:type="character" w:customStyle="1" w:styleId="Nenhum">
    <w:name w:val="Nenhum"/>
    <w:rsid w:val="00764BF2"/>
  </w:style>
  <w:style w:type="character" w:customStyle="1" w:styleId="Hyperlink0">
    <w:name w:val="Hyperlink.0"/>
    <w:rsid w:val="00764BF2"/>
    <w:rPr>
      <w:rFonts w:ascii="Arial" w:eastAsia="Arial" w:hAnsi="Arial" w:cs="Arial"/>
      <w:sz w:val="18"/>
      <w:szCs w:val="18"/>
    </w:rPr>
  </w:style>
  <w:style w:type="character" w:customStyle="1" w:styleId="Hyperlink1">
    <w:name w:val="Hyperlink.1"/>
    <w:rsid w:val="00764BF2"/>
    <w:rPr>
      <w:color w:val="0000FF"/>
      <w:u w:val="single" w:color="0000FF"/>
      <w:lang w:val="pt-PT"/>
    </w:rPr>
  </w:style>
  <w:style w:type="character" w:customStyle="1" w:styleId="Hyperlink2">
    <w:name w:val="Hyperlink.2"/>
    <w:rsid w:val="00764BF2"/>
    <w:rPr>
      <w:color w:val="0000FF"/>
      <w:u w:val="single" w:color="0000FF"/>
      <w:lang w:val="pt-PT"/>
    </w:rPr>
  </w:style>
  <w:style w:type="paragraph" w:customStyle="1" w:styleId="EstilodeTabela1A">
    <w:name w:val="Estilo de Tabela 1 A"/>
    <w:rsid w:val="00764BF2"/>
    <w:pPr>
      <w:pBdr>
        <w:top w:val="nil"/>
        <w:left w:val="nil"/>
        <w:bottom w:val="nil"/>
        <w:right w:val="nil"/>
        <w:between w:val="nil"/>
        <w:bar w:val="nil"/>
      </w:pBdr>
      <w:spacing w:after="0" w:line="240" w:lineRule="auto"/>
    </w:pPr>
    <w:rPr>
      <w:rFonts w:ascii="Helvetica" w:eastAsia="Arial Unicode MS" w:hAnsi="Helvetica" w:cs="Arial Unicode MS"/>
      <w:b/>
      <w:bCs/>
      <w:color w:val="000000"/>
      <w:sz w:val="20"/>
      <w:szCs w:val="20"/>
      <w:u w:color="000000"/>
      <w:bdr w:val="nil"/>
      <w:lang w:val="pt-PT" w:eastAsia="pt-BR"/>
    </w:rPr>
  </w:style>
  <w:style w:type="character" w:customStyle="1" w:styleId="Hyperlink3">
    <w:name w:val="Hyperlink.3"/>
    <w:rsid w:val="00764BF2"/>
    <w:rPr>
      <w:rFonts w:ascii="Calibri" w:eastAsia="Calibri" w:hAnsi="Calibri" w:cs="Calibri"/>
      <w:color w:val="0000FF"/>
      <w:sz w:val="24"/>
      <w:szCs w:val="24"/>
      <w:u w:val="single" w:color="0000FF"/>
      <w:lang w:val="pt-PT"/>
    </w:rPr>
  </w:style>
  <w:style w:type="character" w:customStyle="1" w:styleId="Hyperlink4">
    <w:name w:val="Hyperlink.4"/>
    <w:rsid w:val="00764BF2"/>
    <w:rPr>
      <w:rFonts w:ascii="Calibri" w:eastAsia="Calibri" w:hAnsi="Calibri" w:cs="Calibri"/>
      <w:color w:val="0000FF"/>
      <w:sz w:val="24"/>
      <w:szCs w:val="24"/>
      <w:u w:val="single" w:color="0000FF"/>
      <w:lang w:val="en-US"/>
    </w:rPr>
  </w:style>
  <w:style w:type="character" w:customStyle="1" w:styleId="Hyperlink5">
    <w:name w:val="Hyperlink.5"/>
    <w:rsid w:val="00764BF2"/>
    <w:rPr>
      <w:rFonts w:ascii="Calibri" w:eastAsia="Calibri" w:hAnsi="Calibri" w:cs="Calibri"/>
      <w:color w:val="0000FF"/>
      <w:sz w:val="24"/>
      <w:szCs w:val="24"/>
      <w:u w:val="single" w:color="0000FF"/>
      <w:lang w:val="pt-PT"/>
    </w:rPr>
  </w:style>
  <w:style w:type="character" w:customStyle="1" w:styleId="Hyperlink6">
    <w:name w:val="Hyperlink.6"/>
    <w:rsid w:val="00764BF2"/>
    <w:rPr>
      <w:rFonts w:ascii="Calibri" w:eastAsia="Calibri" w:hAnsi="Calibri" w:cs="Calibri"/>
      <w:color w:val="0000FF"/>
      <w:sz w:val="24"/>
      <w:szCs w:val="24"/>
      <w:u w:val="single" w:color="0000FF"/>
      <w:lang w:val="de-DE"/>
    </w:rPr>
  </w:style>
  <w:style w:type="character" w:customStyle="1" w:styleId="Hyperlink7">
    <w:name w:val="Hyperlink.7"/>
    <w:rsid w:val="00764BF2"/>
    <w:rPr>
      <w:rFonts w:ascii="Calibri" w:eastAsia="Calibri" w:hAnsi="Calibri" w:cs="Calibri"/>
      <w:color w:val="0000FF"/>
      <w:sz w:val="24"/>
      <w:szCs w:val="24"/>
      <w:u w:val="single" w:color="0000FF"/>
      <w:lang w:val="es-ES_tradnl"/>
    </w:rPr>
  </w:style>
  <w:style w:type="character" w:customStyle="1" w:styleId="Hyperlink8">
    <w:name w:val="Hyperlink.8"/>
    <w:rsid w:val="00764BF2"/>
    <w:rPr>
      <w:rFonts w:ascii="Times New Roman" w:eastAsia="Times New Roman" w:hAnsi="Times New Roman" w:cs="Times New Roman"/>
      <w:color w:val="0000FF"/>
      <w:u w:val="single" w:color="0000FF"/>
    </w:rPr>
  </w:style>
  <w:style w:type="character" w:styleId="Textoennegrita">
    <w:name w:val="Strong"/>
    <w:uiPriority w:val="22"/>
    <w:qFormat/>
    <w:rsid w:val="00764BF2"/>
    <w:rPr>
      <w:b/>
      <w:bCs/>
    </w:rPr>
  </w:style>
  <w:style w:type="character" w:customStyle="1" w:styleId="MenoPendente1">
    <w:name w:val="Menção Pendente1"/>
    <w:uiPriority w:val="99"/>
    <w:semiHidden/>
    <w:unhideWhenUsed/>
    <w:rsid w:val="00764BF2"/>
    <w:rPr>
      <w:color w:val="605E5C"/>
      <w:shd w:val="clear" w:color="auto" w:fill="E1DFDD"/>
    </w:rPr>
  </w:style>
  <w:style w:type="table" w:styleId="Tablanormal2">
    <w:name w:val="Plain Table 2"/>
    <w:basedOn w:val="Tablanormal"/>
    <w:uiPriority w:val="42"/>
    <w:rsid w:val="00111E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CC3E57"/>
    <w:rPr>
      <w:color w:val="605E5C"/>
      <w:shd w:val="clear" w:color="auto" w:fill="E1DFDD"/>
    </w:rPr>
  </w:style>
  <w:style w:type="paragraph" w:styleId="HTMLconformatoprevio">
    <w:name w:val="HTML Preformatted"/>
    <w:basedOn w:val="Normal"/>
    <w:link w:val="HTMLconformatoprevioCar"/>
    <w:uiPriority w:val="99"/>
    <w:semiHidden/>
    <w:unhideWhenUsed/>
    <w:rsid w:val="0045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456F5F"/>
    <w:rPr>
      <w:rFonts w:ascii="Courier New" w:eastAsia="Times New Roman" w:hAnsi="Courier New" w:cs="Courier New"/>
      <w:sz w:val="20"/>
      <w:szCs w:val="20"/>
      <w:lang w:val="es-EC" w:eastAsia="es-EC"/>
    </w:rPr>
  </w:style>
  <w:style w:type="paragraph" w:customStyle="1" w:styleId="Default">
    <w:name w:val="Default"/>
    <w:rsid w:val="00840A53"/>
    <w:pPr>
      <w:autoSpaceDE w:val="0"/>
      <w:autoSpaceDN w:val="0"/>
      <w:adjustRightInd w:val="0"/>
      <w:spacing w:after="0" w:line="240" w:lineRule="auto"/>
    </w:pPr>
    <w:rPr>
      <w:rFonts w:ascii="Times New Roman" w:eastAsiaTheme="minorEastAsia" w:hAnsi="Times New Roman" w:cs="Times New Roman"/>
      <w:color w:val="000000"/>
      <w:sz w:val="24"/>
      <w:szCs w:val="24"/>
      <w:lang w:eastAsia="es-CO"/>
    </w:rPr>
  </w:style>
  <w:style w:type="paragraph" w:styleId="TDC1">
    <w:name w:val="toc 1"/>
    <w:basedOn w:val="Normal"/>
    <w:next w:val="Normal"/>
    <w:autoRedefine/>
    <w:uiPriority w:val="39"/>
    <w:unhideWhenUsed/>
    <w:qFormat/>
    <w:rsid w:val="00284A25"/>
    <w:pPr>
      <w:tabs>
        <w:tab w:val="right" w:leader="dot" w:pos="9394"/>
      </w:tabs>
      <w:spacing w:after="100" w:line="276" w:lineRule="auto"/>
      <w:jc w:val="left"/>
    </w:pPr>
    <w:rPr>
      <w:rFonts w:asciiTheme="minorHAnsi" w:hAnsiTheme="minorHAnsi"/>
      <w:sz w:val="22"/>
    </w:rPr>
  </w:style>
  <w:style w:type="paragraph" w:styleId="TDC2">
    <w:name w:val="toc 2"/>
    <w:basedOn w:val="Normal"/>
    <w:next w:val="Normal"/>
    <w:autoRedefine/>
    <w:uiPriority w:val="39"/>
    <w:unhideWhenUsed/>
    <w:qFormat/>
    <w:rsid w:val="00284A25"/>
    <w:pPr>
      <w:spacing w:after="100" w:line="276" w:lineRule="auto"/>
      <w:ind w:left="220"/>
      <w:jc w:val="left"/>
    </w:pPr>
    <w:rPr>
      <w:rFonts w:asciiTheme="minorHAnsi" w:hAnsiTheme="minorHAnsi"/>
      <w:sz w:val="22"/>
    </w:rPr>
  </w:style>
  <w:style w:type="character" w:styleId="Hipervnculovisitado">
    <w:name w:val="FollowedHyperlink"/>
    <w:basedOn w:val="Fuentedeprrafopredeter"/>
    <w:uiPriority w:val="99"/>
    <w:semiHidden/>
    <w:unhideWhenUsed/>
    <w:rsid w:val="00284A25"/>
    <w:rPr>
      <w:color w:val="800080" w:themeColor="followedHyperlink"/>
      <w:u w:val="single"/>
    </w:rPr>
  </w:style>
  <w:style w:type="paragraph" w:styleId="Sangradetextonormal">
    <w:name w:val="Body Text Indent"/>
    <w:basedOn w:val="Normal"/>
    <w:link w:val="SangradetextonormalCar"/>
    <w:unhideWhenUsed/>
    <w:rsid w:val="00322026"/>
    <w:pPr>
      <w:ind w:left="283"/>
    </w:pPr>
  </w:style>
  <w:style w:type="character" w:customStyle="1" w:styleId="SangradetextonormalCar">
    <w:name w:val="Sangría de texto normal Car"/>
    <w:basedOn w:val="Fuentedeprrafopredeter"/>
    <w:link w:val="Sangradetextonormal"/>
    <w:rsid w:val="00322026"/>
    <w:rPr>
      <w:rFonts w:ascii="Arial" w:hAnsi="Arial"/>
      <w:sz w:val="24"/>
    </w:rPr>
  </w:style>
  <w:style w:type="character" w:customStyle="1" w:styleId="Ttulo3Car">
    <w:name w:val="Título 3 Car"/>
    <w:basedOn w:val="Fuentedeprrafopredeter"/>
    <w:link w:val="Ttulo3"/>
    <w:uiPriority w:val="9"/>
    <w:rsid w:val="00453AF0"/>
    <w:rPr>
      <w:rFonts w:ascii="Arial" w:eastAsiaTheme="majorEastAsia" w:hAnsi="Arial" w:cstheme="majorBidi"/>
      <w:b/>
      <w:bCs/>
      <w:sz w:val="24"/>
      <w:lang w:val="es-VE" w:eastAsia="es-VE"/>
    </w:rPr>
  </w:style>
  <w:style w:type="character" w:customStyle="1" w:styleId="comment-body">
    <w:name w:val="comment-body"/>
    <w:basedOn w:val="Fuentedeprrafopredeter"/>
    <w:rsid w:val="00453AF0"/>
  </w:style>
  <w:style w:type="paragraph" w:styleId="Revisin">
    <w:name w:val="Revision"/>
    <w:hidden/>
    <w:uiPriority w:val="99"/>
    <w:semiHidden/>
    <w:rsid w:val="00453AF0"/>
    <w:pPr>
      <w:spacing w:after="0" w:line="240" w:lineRule="auto"/>
    </w:pPr>
    <w:rPr>
      <w:rFonts w:eastAsiaTheme="minorEastAsia"/>
      <w:lang w:val="es-VE" w:eastAsia="es-VE"/>
    </w:rPr>
  </w:style>
  <w:style w:type="paragraph" w:styleId="Sinespaciado">
    <w:name w:val="No Spacing"/>
    <w:link w:val="SinespaciadoCar"/>
    <w:uiPriority w:val="1"/>
    <w:qFormat/>
    <w:rsid w:val="00453AF0"/>
    <w:pPr>
      <w:spacing w:after="0" w:line="240" w:lineRule="auto"/>
    </w:pPr>
    <w:rPr>
      <w:rFonts w:ascii="Calibri" w:eastAsia="Calibri" w:hAnsi="Calibri" w:cs="Times New Roman"/>
      <w:lang w:val="es-VE" w:eastAsia="es-VE"/>
    </w:rPr>
  </w:style>
  <w:style w:type="table" w:styleId="Listamedia1">
    <w:name w:val="Medium List 1"/>
    <w:basedOn w:val="Tablanormal"/>
    <w:uiPriority w:val="65"/>
    <w:rsid w:val="00453AF0"/>
    <w:pPr>
      <w:spacing w:after="0" w:line="240" w:lineRule="auto"/>
    </w:pPr>
    <w:rPr>
      <w:rFonts w:eastAsiaTheme="minorEastAsia"/>
      <w:color w:val="000000" w:themeColor="text1"/>
      <w:lang w:val="es-VE" w:eastAsia="es-V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dice1">
    <w:name w:val="index 1"/>
    <w:basedOn w:val="Normal"/>
    <w:next w:val="Normal"/>
    <w:autoRedefine/>
    <w:uiPriority w:val="99"/>
    <w:unhideWhenUsed/>
    <w:rsid w:val="00453AF0"/>
    <w:pPr>
      <w:tabs>
        <w:tab w:val="right" w:leader="dot" w:pos="3882"/>
      </w:tabs>
      <w:spacing w:after="0"/>
      <w:ind w:left="220" w:hanging="220"/>
      <w:jc w:val="center"/>
    </w:pPr>
    <w:rPr>
      <w:rFonts w:asciiTheme="minorHAnsi" w:eastAsiaTheme="minorEastAsia" w:hAnsiTheme="minorHAnsi"/>
      <w:b/>
      <w:noProof/>
      <w:sz w:val="22"/>
      <w:lang w:val="es-VE" w:eastAsia="es-VE"/>
    </w:rPr>
  </w:style>
  <w:style w:type="paragraph" w:styleId="ndice2">
    <w:name w:val="index 2"/>
    <w:basedOn w:val="Normal"/>
    <w:next w:val="Normal"/>
    <w:autoRedefine/>
    <w:uiPriority w:val="99"/>
    <w:semiHidden/>
    <w:unhideWhenUsed/>
    <w:rsid w:val="00453AF0"/>
    <w:pPr>
      <w:spacing w:after="0"/>
      <w:ind w:left="440" w:hanging="220"/>
      <w:jc w:val="left"/>
    </w:pPr>
    <w:rPr>
      <w:rFonts w:asciiTheme="minorHAnsi" w:eastAsiaTheme="minorEastAsia" w:hAnsiTheme="minorHAnsi"/>
      <w:sz w:val="22"/>
      <w:lang w:val="es-VE" w:eastAsia="es-VE"/>
    </w:rPr>
  </w:style>
  <w:style w:type="paragraph" w:styleId="TDC3">
    <w:name w:val="toc 3"/>
    <w:basedOn w:val="Normal"/>
    <w:next w:val="Normal"/>
    <w:autoRedefine/>
    <w:uiPriority w:val="39"/>
    <w:unhideWhenUsed/>
    <w:qFormat/>
    <w:rsid w:val="00453AF0"/>
    <w:pPr>
      <w:spacing w:after="100" w:line="276" w:lineRule="auto"/>
      <w:ind w:left="440"/>
      <w:jc w:val="left"/>
    </w:pPr>
    <w:rPr>
      <w:rFonts w:asciiTheme="minorHAnsi" w:eastAsiaTheme="minorEastAsia" w:hAnsiTheme="minorHAnsi"/>
      <w:sz w:val="22"/>
      <w:lang w:val="es-VE" w:eastAsia="es-VE"/>
    </w:rPr>
  </w:style>
  <w:style w:type="character" w:customStyle="1" w:styleId="SinespaciadoCar">
    <w:name w:val="Sin espaciado Car"/>
    <w:basedOn w:val="Fuentedeprrafopredeter"/>
    <w:link w:val="Sinespaciado"/>
    <w:uiPriority w:val="1"/>
    <w:rsid w:val="00453AF0"/>
    <w:rPr>
      <w:rFonts w:ascii="Calibri" w:eastAsia="Calibri" w:hAnsi="Calibri" w:cs="Times New Roman"/>
      <w:lang w:val="es-VE" w:eastAsia="es-VE"/>
    </w:rPr>
  </w:style>
  <w:style w:type="character" w:styleId="Textodelmarcadordeposicin">
    <w:name w:val="Placeholder Text"/>
    <w:basedOn w:val="Fuentedeprrafopredeter"/>
    <w:uiPriority w:val="99"/>
    <w:semiHidden/>
    <w:rsid w:val="00453AF0"/>
    <w:rPr>
      <w:color w:val="808080"/>
    </w:rPr>
  </w:style>
  <w:style w:type="paragraph" w:styleId="Tabladeilustraciones">
    <w:name w:val="table of figures"/>
    <w:basedOn w:val="Normal"/>
    <w:next w:val="Normal"/>
    <w:uiPriority w:val="99"/>
    <w:unhideWhenUsed/>
    <w:rsid w:val="00453AF0"/>
    <w:pPr>
      <w:spacing w:after="0" w:line="360" w:lineRule="auto"/>
    </w:pPr>
    <w:rPr>
      <w:rFonts w:ascii="Times New Roman" w:eastAsiaTheme="minorEastAsia" w:hAnsi="Times New Roman"/>
      <w:lang w:val="es-VE" w:eastAsia="es-VE"/>
    </w:rPr>
  </w:style>
  <w:style w:type="paragraph" w:styleId="Ttulo">
    <w:name w:val="Title"/>
    <w:basedOn w:val="Normal"/>
    <w:next w:val="Normal"/>
    <w:link w:val="TtuloCar"/>
    <w:uiPriority w:val="10"/>
    <w:qFormat/>
    <w:rsid w:val="00453AF0"/>
    <w:pPr>
      <w:pBdr>
        <w:bottom w:val="single" w:sz="8" w:space="4" w:color="4F81BD" w:themeColor="accent1"/>
      </w:pBdr>
      <w:spacing w:before="100" w:beforeAutospacing="1" w:after="100" w:afterAutospacing="1"/>
      <w:contextualSpacing/>
      <w:jc w:val="center"/>
    </w:pPr>
    <w:rPr>
      <w:rFonts w:asciiTheme="majorHAnsi" w:eastAsiaTheme="majorEastAsia" w:hAnsiTheme="majorHAnsi" w:cstheme="majorBidi"/>
      <w:color w:val="17365D" w:themeColor="text2" w:themeShade="BF"/>
      <w:spacing w:val="5"/>
      <w:kern w:val="28"/>
      <w:sz w:val="52"/>
      <w:szCs w:val="52"/>
      <w:lang w:eastAsia="es-VE"/>
    </w:rPr>
  </w:style>
  <w:style w:type="character" w:customStyle="1" w:styleId="TtuloCar">
    <w:name w:val="Título Car"/>
    <w:basedOn w:val="Fuentedeprrafopredeter"/>
    <w:link w:val="Ttulo"/>
    <w:uiPriority w:val="10"/>
    <w:rsid w:val="00453AF0"/>
    <w:rPr>
      <w:rFonts w:asciiTheme="majorHAnsi" w:eastAsiaTheme="majorEastAsia" w:hAnsiTheme="majorHAnsi" w:cstheme="majorBidi"/>
      <w:color w:val="17365D" w:themeColor="text2" w:themeShade="BF"/>
      <w:spacing w:val="5"/>
      <w:kern w:val="28"/>
      <w:sz w:val="52"/>
      <w:szCs w:val="52"/>
      <w:lang w:eastAsia="es-VE"/>
    </w:rPr>
  </w:style>
  <w:style w:type="character" w:customStyle="1" w:styleId="apple-converted-space">
    <w:name w:val="apple-converted-space"/>
    <w:basedOn w:val="Fuentedeprrafopredeter"/>
    <w:rsid w:val="00453AF0"/>
  </w:style>
  <w:style w:type="paragraph" w:customStyle="1" w:styleId="CATET1">
    <w:name w:val="CATE T1"/>
    <w:basedOn w:val="Normal"/>
    <w:qFormat/>
    <w:rsid w:val="00453AF0"/>
    <w:pPr>
      <w:tabs>
        <w:tab w:val="left" w:pos="2550"/>
        <w:tab w:val="center" w:pos="4419"/>
      </w:tabs>
      <w:spacing w:after="0" w:line="360" w:lineRule="auto"/>
      <w:ind w:firstLine="567"/>
      <w:jc w:val="center"/>
    </w:pPr>
    <w:rPr>
      <w:rFonts w:eastAsiaTheme="minorEastAsia" w:cs="Arial"/>
      <w:b/>
      <w:color w:val="000000"/>
      <w:szCs w:val="24"/>
      <w:lang w:val="es-ES_tradnl" w:eastAsia="es-VE"/>
    </w:rPr>
  </w:style>
  <w:style w:type="character" w:customStyle="1" w:styleId="m-6380373064642826525apple-converted-space">
    <w:name w:val="m_-6380373064642826525apple-converted-space"/>
    <w:basedOn w:val="Fuentedeprrafopredeter"/>
    <w:qFormat/>
    <w:rsid w:val="00453AF0"/>
  </w:style>
  <w:style w:type="paragraph" w:customStyle="1" w:styleId="A11">
    <w:name w:val="A11"/>
    <w:basedOn w:val="Normal"/>
    <w:qFormat/>
    <w:rsid w:val="00453AF0"/>
    <w:pPr>
      <w:spacing w:after="0" w:line="360" w:lineRule="auto"/>
      <w:jc w:val="center"/>
    </w:pPr>
    <w:rPr>
      <w:rFonts w:eastAsia="Calibri" w:cs="Arial"/>
      <w:b/>
      <w:szCs w:val="24"/>
      <w:lang w:val="es-VE" w:eastAsia="es-VE"/>
    </w:rPr>
  </w:style>
  <w:style w:type="character" w:customStyle="1" w:styleId="normaltextrun">
    <w:name w:val="normaltextrun"/>
    <w:rsid w:val="00453AF0"/>
  </w:style>
  <w:style w:type="paragraph" w:customStyle="1" w:styleId="A22">
    <w:name w:val="A22"/>
    <w:basedOn w:val="A11"/>
    <w:qFormat/>
    <w:rsid w:val="00453AF0"/>
  </w:style>
  <w:style w:type="character" w:customStyle="1" w:styleId="dp6">
    <w:name w:val="dp6"/>
    <w:basedOn w:val="Fuentedeprrafopredeter"/>
    <w:rsid w:val="00453AF0"/>
  </w:style>
  <w:style w:type="character" w:customStyle="1" w:styleId="dp9">
    <w:name w:val="dp9"/>
    <w:basedOn w:val="Fuentedeprrafopredeter"/>
    <w:rsid w:val="00453AF0"/>
  </w:style>
  <w:style w:type="character" w:customStyle="1" w:styleId="orcid-id-https">
    <w:name w:val="orcid-id-https"/>
    <w:basedOn w:val="Fuentedeprrafopredeter"/>
    <w:rsid w:val="00D9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56345">
      <w:bodyDiv w:val="1"/>
      <w:marLeft w:val="0"/>
      <w:marRight w:val="0"/>
      <w:marTop w:val="0"/>
      <w:marBottom w:val="0"/>
      <w:divBdr>
        <w:top w:val="none" w:sz="0" w:space="0" w:color="auto"/>
        <w:left w:val="none" w:sz="0" w:space="0" w:color="auto"/>
        <w:bottom w:val="none" w:sz="0" w:space="0" w:color="auto"/>
        <w:right w:val="none" w:sz="0" w:space="0" w:color="auto"/>
      </w:divBdr>
    </w:div>
    <w:div w:id="68501793">
      <w:bodyDiv w:val="1"/>
      <w:marLeft w:val="0"/>
      <w:marRight w:val="0"/>
      <w:marTop w:val="0"/>
      <w:marBottom w:val="0"/>
      <w:divBdr>
        <w:top w:val="none" w:sz="0" w:space="0" w:color="auto"/>
        <w:left w:val="none" w:sz="0" w:space="0" w:color="auto"/>
        <w:bottom w:val="none" w:sz="0" w:space="0" w:color="auto"/>
        <w:right w:val="none" w:sz="0" w:space="0" w:color="auto"/>
      </w:divBdr>
    </w:div>
    <w:div w:id="90902466">
      <w:bodyDiv w:val="1"/>
      <w:marLeft w:val="0"/>
      <w:marRight w:val="0"/>
      <w:marTop w:val="0"/>
      <w:marBottom w:val="0"/>
      <w:divBdr>
        <w:top w:val="none" w:sz="0" w:space="0" w:color="auto"/>
        <w:left w:val="none" w:sz="0" w:space="0" w:color="auto"/>
        <w:bottom w:val="none" w:sz="0" w:space="0" w:color="auto"/>
        <w:right w:val="none" w:sz="0" w:space="0" w:color="auto"/>
      </w:divBdr>
    </w:div>
    <w:div w:id="97415535">
      <w:bodyDiv w:val="1"/>
      <w:marLeft w:val="0"/>
      <w:marRight w:val="0"/>
      <w:marTop w:val="0"/>
      <w:marBottom w:val="0"/>
      <w:divBdr>
        <w:top w:val="none" w:sz="0" w:space="0" w:color="auto"/>
        <w:left w:val="none" w:sz="0" w:space="0" w:color="auto"/>
        <w:bottom w:val="none" w:sz="0" w:space="0" w:color="auto"/>
        <w:right w:val="none" w:sz="0" w:space="0" w:color="auto"/>
      </w:divBdr>
    </w:div>
    <w:div w:id="113720871">
      <w:bodyDiv w:val="1"/>
      <w:marLeft w:val="0"/>
      <w:marRight w:val="0"/>
      <w:marTop w:val="0"/>
      <w:marBottom w:val="0"/>
      <w:divBdr>
        <w:top w:val="none" w:sz="0" w:space="0" w:color="auto"/>
        <w:left w:val="none" w:sz="0" w:space="0" w:color="auto"/>
        <w:bottom w:val="none" w:sz="0" w:space="0" w:color="auto"/>
        <w:right w:val="none" w:sz="0" w:space="0" w:color="auto"/>
      </w:divBdr>
    </w:div>
    <w:div w:id="146291358">
      <w:bodyDiv w:val="1"/>
      <w:marLeft w:val="0"/>
      <w:marRight w:val="0"/>
      <w:marTop w:val="0"/>
      <w:marBottom w:val="0"/>
      <w:divBdr>
        <w:top w:val="none" w:sz="0" w:space="0" w:color="auto"/>
        <w:left w:val="none" w:sz="0" w:space="0" w:color="auto"/>
        <w:bottom w:val="none" w:sz="0" w:space="0" w:color="auto"/>
        <w:right w:val="none" w:sz="0" w:space="0" w:color="auto"/>
      </w:divBdr>
    </w:div>
    <w:div w:id="147138919">
      <w:bodyDiv w:val="1"/>
      <w:marLeft w:val="0"/>
      <w:marRight w:val="0"/>
      <w:marTop w:val="0"/>
      <w:marBottom w:val="0"/>
      <w:divBdr>
        <w:top w:val="none" w:sz="0" w:space="0" w:color="auto"/>
        <w:left w:val="none" w:sz="0" w:space="0" w:color="auto"/>
        <w:bottom w:val="none" w:sz="0" w:space="0" w:color="auto"/>
        <w:right w:val="none" w:sz="0" w:space="0" w:color="auto"/>
      </w:divBdr>
    </w:div>
    <w:div w:id="149296143">
      <w:bodyDiv w:val="1"/>
      <w:marLeft w:val="0"/>
      <w:marRight w:val="0"/>
      <w:marTop w:val="0"/>
      <w:marBottom w:val="0"/>
      <w:divBdr>
        <w:top w:val="none" w:sz="0" w:space="0" w:color="auto"/>
        <w:left w:val="none" w:sz="0" w:space="0" w:color="auto"/>
        <w:bottom w:val="none" w:sz="0" w:space="0" w:color="auto"/>
        <w:right w:val="none" w:sz="0" w:space="0" w:color="auto"/>
      </w:divBdr>
    </w:div>
    <w:div w:id="208348611">
      <w:bodyDiv w:val="1"/>
      <w:marLeft w:val="0"/>
      <w:marRight w:val="0"/>
      <w:marTop w:val="0"/>
      <w:marBottom w:val="0"/>
      <w:divBdr>
        <w:top w:val="none" w:sz="0" w:space="0" w:color="auto"/>
        <w:left w:val="none" w:sz="0" w:space="0" w:color="auto"/>
        <w:bottom w:val="none" w:sz="0" w:space="0" w:color="auto"/>
        <w:right w:val="none" w:sz="0" w:space="0" w:color="auto"/>
      </w:divBdr>
    </w:div>
    <w:div w:id="267663771">
      <w:bodyDiv w:val="1"/>
      <w:marLeft w:val="0"/>
      <w:marRight w:val="0"/>
      <w:marTop w:val="0"/>
      <w:marBottom w:val="0"/>
      <w:divBdr>
        <w:top w:val="none" w:sz="0" w:space="0" w:color="auto"/>
        <w:left w:val="none" w:sz="0" w:space="0" w:color="auto"/>
        <w:bottom w:val="none" w:sz="0" w:space="0" w:color="auto"/>
        <w:right w:val="none" w:sz="0" w:space="0" w:color="auto"/>
      </w:divBdr>
      <w:divsChild>
        <w:div w:id="209043">
          <w:marLeft w:val="0"/>
          <w:marRight w:val="0"/>
          <w:marTop w:val="0"/>
          <w:marBottom w:val="0"/>
          <w:divBdr>
            <w:top w:val="none" w:sz="0" w:space="0" w:color="auto"/>
            <w:left w:val="none" w:sz="0" w:space="0" w:color="auto"/>
            <w:bottom w:val="none" w:sz="0" w:space="0" w:color="auto"/>
            <w:right w:val="none" w:sz="0" w:space="0" w:color="auto"/>
          </w:divBdr>
        </w:div>
      </w:divsChild>
    </w:div>
    <w:div w:id="306785370">
      <w:bodyDiv w:val="1"/>
      <w:marLeft w:val="0"/>
      <w:marRight w:val="0"/>
      <w:marTop w:val="0"/>
      <w:marBottom w:val="0"/>
      <w:divBdr>
        <w:top w:val="none" w:sz="0" w:space="0" w:color="auto"/>
        <w:left w:val="none" w:sz="0" w:space="0" w:color="auto"/>
        <w:bottom w:val="none" w:sz="0" w:space="0" w:color="auto"/>
        <w:right w:val="none" w:sz="0" w:space="0" w:color="auto"/>
      </w:divBdr>
    </w:div>
    <w:div w:id="454754602">
      <w:bodyDiv w:val="1"/>
      <w:marLeft w:val="0"/>
      <w:marRight w:val="0"/>
      <w:marTop w:val="0"/>
      <w:marBottom w:val="0"/>
      <w:divBdr>
        <w:top w:val="none" w:sz="0" w:space="0" w:color="auto"/>
        <w:left w:val="none" w:sz="0" w:space="0" w:color="auto"/>
        <w:bottom w:val="none" w:sz="0" w:space="0" w:color="auto"/>
        <w:right w:val="none" w:sz="0" w:space="0" w:color="auto"/>
      </w:divBdr>
    </w:div>
    <w:div w:id="464467933">
      <w:bodyDiv w:val="1"/>
      <w:marLeft w:val="0"/>
      <w:marRight w:val="0"/>
      <w:marTop w:val="0"/>
      <w:marBottom w:val="0"/>
      <w:divBdr>
        <w:top w:val="none" w:sz="0" w:space="0" w:color="auto"/>
        <w:left w:val="none" w:sz="0" w:space="0" w:color="auto"/>
        <w:bottom w:val="none" w:sz="0" w:space="0" w:color="auto"/>
        <w:right w:val="none" w:sz="0" w:space="0" w:color="auto"/>
      </w:divBdr>
    </w:div>
    <w:div w:id="474682650">
      <w:bodyDiv w:val="1"/>
      <w:marLeft w:val="0"/>
      <w:marRight w:val="0"/>
      <w:marTop w:val="0"/>
      <w:marBottom w:val="0"/>
      <w:divBdr>
        <w:top w:val="none" w:sz="0" w:space="0" w:color="auto"/>
        <w:left w:val="none" w:sz="0" w:space="0" w:color="auto"/>
        <w:bottom w:val="none" w:sz="0" w:space="0" w:color="auto"/>
        <w:right w:val="none" w:sz="0" w:space="0" w:color="auto"/>
      </w:divBdr>
    </w:div>
    <w:div w:id="491719292">
      <w:bodyDiv w:val="1"/>
      <w:marLeft w:val="0"/>
      <w:marRight w:val="0"/>
      <w:marTop w:val="0"/>
      <w:marBottom w:val="0"/>
      <w:divBdr>
        <w:top w:val="none" w:sz="0" w:space="0" w:color="auto"/>
        <w:left w:val="none" w:sz="0" w:space="0" w:color="auto"/>
        <w:bottom w:val="none" w:sz="0" w:space="0" w:color="auto"/>
        <w:right w:val="none" w:sz="0" w:space="0" w:color="auto"/>
      </w:divBdr>
    </w:div>
    <w:div w:id="517545766">
      <w:bodyDiv w:val="1"/>
      <w:marLeft w:val="0"/>
      <w:marRight w:val="0"/>
      <w:marTop w:val="0"/>
      <w:marBottom w:val="0"/>
      <w:divBdr>
        <w:top w:val="none" w:sz="0" w:space="0" w:color="auto"/>
        <w:left w:val="none" w:sz="0" w:space="0" w:color="auto"/>
        <w:bottom w:val="none" w:sz="0" w:space="0" w:color="auto"/>
        <w:right w:val="none" w:sz="0" w:space="0" w:color="auto"/>
      </w:divBdr>
    </w:div>
    <w:div w:id="525290988">
      <w:bodyDiv w:val="1"/>
      <w:marLeft w:val="0"/>
      <w:marRight w:val="0"/>
      <w:marTop w:val="0"/>
      <w:marBottom w:val="0"/>
      <w:divBdr>
        <w:top w:val="none" w:sz="0" w:space="0" w:color="auto"/>
        <w:left w:val="none" w:sz="0" w:space="0" w:color="auto"/>
        <w:bottom w:val="none" w:sz="0" w:space="0" w:color="auto"/>
        <w:right w:val="none" w:sz="0" w:space="0" w:color="auto"/>
      </w:divBdr>
    </w:div>
    <w:div w:id="586773062">
      <w:bodyDiv w:val="1"/>
      <w:marLeft w:val="0"/>
      <w:marRight w:val="0"/>
      <w:marTop w:val="0"/>
      <w:marBottom w:val="0"/>
      <w:divBdr>
        <w:top w:val="none" w:sz="0" w:space="0" w:color="auto"/>
        <w:left w:val="none" w:sz="0" w:space="0" w:color="auto"/>
        <w:bottom w:val="none" w:sz="0" w:space="0" w:color="auto"/>
        <w:right w:val="none" w:sz="0" w:space="0" w:color="auto"/>
      </w:divBdr>
    </w:div>
    <w:div w:id="590745046">
      <w:bodyDiv w:val="1"/>
      <w:marLeft w:val="0"/>
      <w:marRight w:val="0"/>
      <w:marTop w:val="0"/>
      <w:marBottom w:val="0"/>
      <w:divBdr>
        <w:top w:val="none" w:sz="0" w:space="0" w:color="auto"/>
        <w:left w:val="none" w:sz="0" w:space="0" w:color="auto"/>
        <w:bottom w:val="none" w:sz="0" w:space="0" w:color="auto"/>
        <w:right w:val="none" w:sz="0" w:space="0" w:color="auto"/>
      </w:divBdr>
    </w:div>
    <w:div w:id="674766106">
      <w:bodyDiv w:val="1"/>
      <w:marLeft w:val="0"/>
      <w:marRight w:val="0"/>
      <w:marTop w:val="0"/>
      <w:marBottom w:val="0"/>
      <w:divBdr>
        <w:top w:val="none" w:sz="0" w:space="0" w:color="auto"/>
        <w:left w:val="none" w:sz="0" w:space="0" w:color="auto"/>
        <w:bottom w:val="none" w:sz="0" w:space="0" w:color="auto"/>
        <w:right w:val="none" w:sz="0" w:space="0" w:color="auto"/>
      </w:divBdr>
    </w:div>
    <w:div w:id="679237229">
      <w:bodyDiv w:val="1"/>
      <w:marLeft w:val="0"/>
      <w:marRight w:val="0"/>
      <w:marTop w:val="0"/>
      <w:marBottom w:val="0"/>
      <w:divBdr>
        <w:top w:val="none" w:sz="0" w:space="0" w:color="auto"/>
        <w:left w:val="none" w:sz="0" w:space="0" w:color="auto"/>
        <w:bottom w:val="none" w:sz="0" w:space="0" w:color="auto"/>
        <w:right w:val="none" w:sz="0" w:space="0" w:color="auto"/>
      </w:divBdr>
    </w:div>
    <w:div w:id="714230715">
      <w:bodyDiv w:val="1"/>
      <w:marLeft w:val="0"/>
      <w:marRight w:val="0"/>
      <w:marTop w:val="0"/>
      <w:marBottom w:val="0"/>
      <w:divBdr>
        <w:top w:val="none" w:sz="0" w:space="0" w:color="auto"/>
        <w:left w:val="none" w:sz="0" w:space="0" w:color="auto"/>
        <w:bottom w:val="none" w:sz="0" w:space="0" w:color="auto"/>
        <w:right w:val="none" w:sz="0" w:space="0" w:color="auto"/>
      </w:divBdr>
    </w:div>
    <w:div w:id="757867540">
      <w:bodyDiv w:val="1"/>
      <w:marLeft w:val="0"/>
      <w:marRight w:val="0"/>
      <w:marTop w:val="0"/>
      <w:marBottom w:val="0"/>
      <w:divBdr>
        <w:top w:val="none" w:sz="0" w:space="0" w:color="auto"/>
        <w:left w:val="none" w:sz="0" w:space="0" w:color="auto"/>
        <w:bottom w:val="none" w:sz="0" w:space="0" w:color="auto"/>
        <w:right w:val="none" w:sz="0" w:space="0" w:color="auto"/>
      </w:divBdr>
    </w:div>
    <w:div w:id="773789294">
      <w:bodyDiv w:val="1"/>
      <w:marLeft w:val="0"/>
      <w:marRight w:val="0"/>
      <w:marTop w:val="0"/>
      <w:marBottom w:val="0"/>
      <w:divBdr>
        <w:top w:val="none" w:sz="0" w:space="0" w:color="auto"/>
        <w:left w:val="none" w:sz="0" w:space="0" w:color="auto"/>
        <w:bottom w:val="none" w:sz="0" w:space="0" w:color="auto"/>
        <w:right w:val="none" w:sz="0" w:space="0" w:color="auto"/>
      </w:divBdr>
    </w:div>
    <w:div w:id="800539839">
      <w:bodyDiv w:val="1"/>
      <w:marLeft w:val="0"/>
      <w:marRight w:val="0"/>
      <w:marTop w:val="0"/>
      <w:marBottom w:val="0"/>
      <w:divBdr>
        <w:top w:val="none" w:sz="0" w:space="0" w:color="auto"/>
        <w:left w:val="none" w:sz="0" w:space="0" w:color="auto"/>
        <w:bottom w:val="none" w:sz="0" w:space="0" w:color="auto"/>
        <w:right w:val="none" w:sz="0" w:space="0" w:color="auto"/>
      </w:divBdr>
    </w:div>
    <w:div w:id="806826464">
      <w:bodyDiv w:val="1"/>
      <w:marLeft w:val="0"/>
      <w:marRight w:val="0"/>
      <w:marTop w:val="0"/>
      <w:marBottom w:val="0"/>
      <w:divBdr>
        <w:top w:val="none" w:sz="0" w:space="0" w:color="auto"/>
        <w:left w:val="none" w:sz="0" w:space="0" w:color="auto"/>
        <w:bottom w:val="none" w:sz="0" w:space="0" w:color="auto"/>
        <w:right w:val="none" w:sz="0" w:space="0" w:color="auto"/>
      </w:divBdr>
    </w:div>
    <w:div w:id="824198173">
      <w:bodyDiv w:val="1"/>
      <w:marLeft w:val="0"/>
      <w:marRight w:val="0"/>
      <w:marTop w:val="0"/>
      <w:marBottom w:val="0"/>
      <w:divBdr>
        <w:top w:val="none" w:sz="0" w:space="0" w:color="auto"/>
        <w:left w:val="none" w:sz="0" w:space="0" w:color="auto"/>
        <w:bottom w:val="none" w:sz="0" w:space="0" w:color="auto"/>
        <w:right w:val="none" w:sz="0" w:space="0" w:color="auto"/>
      </w:divBdr>
      <w:divsChild>
        <w:div w:id="1560628678">
          <w:marLeft w:val="0"/>
          <w:marRight w:val="0"/>
          <w:marTop w:val="0"/>
          <w:marBottom w:val="0"/>
          <w:divBdr>
            <w:top w:val="none" w:sz="0" w:space="0" w:color="auto"/>
            <w:left w:val="none" w:sz="0" w:space="0" w:color="auto"/>
            <w:bottom w:val="none" w:sz="0" w:space="0" w:color="auto"/>
            <w:right w:val="none" w:sz="0" w:space="0" w:color="auto"/>
          </w:divBdr>
        </w:div>
      </w:divsChild>
    </w:div>
    <w:div w:id="856575088">
      <w:bodyDiv w:val="1"/>
      <w:marLeft w:val="0"/>
      <w:marRight w:val="0"/>
      <w:marTop w:val="0"/>
      <w:marBottom w:val="0"/>
      <w:divBdr>
        <w:top w:val="none" w:sz="0" w:space="0" w:color="auto"/>
        <w:left w:val="none" w:sz="0" w:space="0" w:color="auto"/>
        <w:bottom w:val="none" w:sz="0" w:space="0" w:color="auto"/>
        <w:right w:val="none" w:sz="0" w:space="0" w:color="auto"/>
      </w:divBdr>
    </w:div>
    <w:div w:id="885261810">
      <w:bodyDiv w:val="1"/>
      <w:marLeft w:val="0"/>
      <w:marRight w:val="0"/>
      <w:marTop w:val="0"/>
      <w:marBottom w:val="0"/>
      <w:divBdr>
        <w:top w:val="none" w:sz="0" w:space="0" w:color="auto"/>
        <w:left w:val="none" w:sz="0" w:space="0" w:color="auto"/>
        <w:bottom w:val="none" w:sz="0" w:space="0" w:color="auto"/>
        <w:right w:val="none" w:sz="0" w:space="0" w:color="auto"/>
      </w:divBdr>
    </w:div>
    <w:div w:id="910236941">
      <w:bodyDiv w:val="1"/>
      <w:marLeft w:val="0"/>
      <w:marRight w:val="0"/>
      <w:marTop w:val="0"/>
      <w:marBottom w:val="0"/>
      <w:divBdr>
        <w:top w:val="none" w:sz="0" w:space="0" w:color="auto"/>
        <w:left w:val="none" w:sz="0" w:space="0" w:color="auto"/>
        <w:bottom w:val="none" w:sz="0" w:space="0" w:color="auto"/>
        <w:right w:val="none" w:sz="0" w:space="0" w:color="auto"/>
      </w:divBdr>
    </w:div>
    <w:div w:id="927274951">
      <w:bodyDiv w:val="1"/>
      <w:marLeft w:val="0"/>
      <w:marRight w:val="0"/>
      <w:marTop w:val="0"/>
      <w:marBottom w:val="0"/>
      <w:divBdr>
        <w:top w:val="none" w:sz="0" w:space="0" w:color="auto"/>
        <w:left w:val="none" w:sz="0" w:space="0" w:color="auto"/>
        <w:bottom w:val="none" w:sz="0" w:space="0" w:color="auto"/>
        <w:right w:val="none" w:sz="0" w:space="0" w:color="auto"/>
      </w:divBdr>
    </w:div>
    <w:div w:id="992952108">
      <w:bodyDiv w:val="1"/>
      <w:marLeft w:val="0"/>
      <w:marRight w:val="0"/>
      <w:marTop w:val="0"/>
      <w:marBottom w:val="0"/>
      <w:divBdr>
        <w:top w:val="none" w:sz="0" w:space="0" w:color="auto"/>
        <w:left w:val="none" w:sz="0" w:space="0" w:color="auto"/>
        <w:bottom w:val="none" w:sz="0" w:space="0" w:color="auto"/>
        <w:right w:val="none" w:sz="0" w:space="0" w:color="auto"/>
      </w:divBdr>
    </w:div>
    <w:div w:id="1059592822">
      <w:bodyDiv w:val="1"/>
      <w:marLeft w:val="0"/>
      <w:marRight w:val="0"/>
      <w:marTop w:val="0"/>
      <w:marBottom w:val="0"/>
      <w:divBdr>
        <w:top w:val="none" w:sz="0" w:space="0" w:color="auto"/>
        <w:left w:val="none" w:sz="0" w:space="0" w:color="auto"/>
        <w:bottom w:val="none" w:sz="0" w:space="0" w:color="auto"/>
        <w:right w:val="none" w:sz="0" w:space="0" w:color="auto"/>
      </w:divBdr>
    </w:div>
    <w:div w:id="1073743051">
      <w:bodyDiv w:val="1"/>
      <w:marLeft w:val="0"/>
      <w:marRight w:val="0"/>
      <w:marTop w:val="0"/>
      <w:marBottom w:val="0"/>
      <w:divBdr>
        <w:top w:val="none" w:sz="0" w:space="0" w:color="auto"/>
        <w:left w:val="none" w:sz="0" w:space="0" w:color="auto"/>
        <w:bottom w:val="none" w:sz="0" w:space="0" w:color="auto"/>
        <w:right w:val="none" w:sz="0" w:space="0" w:color="auto"/>
      </w:divBdr>
    </w:div>
    <w:div w:id="1077938428">
      <w:bodyDiv w:val="1"/>
      <w:marLeft w:val="0"/>
      <w:marRight w:val="0"/>
      <w:marTop w:val="0"/>
      <w:marBottom w:val="0"/>
      <w:divBdr>
        <w:top w:val="none" w:sz="0" w:space="0" w:color="auto"/>
        <w:left w:val="none" w:sz="0" w:space="0" w:color="auto"/>
        <w:bottom w:val="none" w:sz="0" w:space="0" w:color="auto"/>
        <w:right w:val="none" w:sz="0" w:space="0" w:color="auto"/>
      </w:divBdr>
    </w:div>
    <w:div w:id="1086656296">
      <w:bodyDiv w:val="1"/>
      <w:marLeft w:val="0"/>
      <w:marRight w:val="0"/>
      <w:marTop w:val="0"/>
      <w:marBottom w:val="0"/>
      <w:divBdr>
        <w:top w:val="none" w:sz="0" w:space="0" w:color="auto"/>
        <w:left w:val="none" w:sz="0" w:space="0" w:color="auto"/>
        <w:bottom w:val="none" w:sz="0" w:space="0" w:color="auto"/>
        <w:right w:val="none" w:sz="0" w:space="0" w:color="auto"/>
      </w:divBdr>
    </w:div>
    <w:div w:id="1124735672">
      <w:bodyDiv w:val="1"/>
      <w:marLeft w:val="0"/>
      <w:marRight w:val="0"/>
      <w:marTop w:val="0"/>
      <w:marBottom w:val="0"/>
      <w:divBdr>
        <w:top w:val="none" w:sz="0" w:space="0" w:color="auto"/>
        <w:left w:val="none" w:sz="0" w:space="0" w:color="auto"/>
        <w:bottom w:val="none" w:sz="0" w:space="0" w:color="auto"/>
        <w:right w:val="none" w:sz="0" w:space="0" w:color="auto"/>
      </w:divBdr>
    </w:div>
    <w:div w:id="1127551925">
      <w:bodyDiv w:val="1"/>
      <w:marLeft w:val="0"/>
      <w:marRight w:val="0"/>
      <w:marTop w:val="0"/>
      <w:marBottom w:val="0"/>
      <w:divBdr>
        <w:top w:val="none" w:sz="0" w:space="0" w:color="auto"/>
        <w:left w:val="none" w:sz="0" w:space="0" w:color="auto"/>
        <w:bottom w:val="none" w:sz="0" w:space="0" w:color="auto"/>
        <w:right w:val="none" w:sz="0" w:space="0" w:color="auto"/>
      </w:divBdr>
    </w:div>
    <w:div w:id="1153253754">
      <w:bodyDiv w:val="1"/>
      <w:marLeft w:val="0"/>
      <w:marRight w:val="0"/>
      <w:marTop w:val="0"/>
      <w:marBottom w:val="0"/>
      <w:divBdr>
        <w:top w:val="none" w:sz="0" w:space="0" w:color="auto"/>
        <w:left w:val="none" w:sz="0" w:space="0" w:color="auto"/>
        <w:bottom w:val="none" w:sz="0" w:space="0" w:color="auto"/>
        <w:right w:val="none" w:sz="0" w:space="0" w:color="auto"/>
      </w:divBdr>
    </w:div>
    <w:div w:id="1327511831">
      <w:bodyDiv w:val="1"/>
      <w:marLeft w:val="0"/>
      <w:marRight w:val="0"/>
      <w:marTop w:val="0"/>
      <w:marBottom w:val="0"/>
      <w:divBdr>
        <w:top w:val="none" w:sz="0" w:space="0" w:color="auto"/>
        <w:left w:val="none" w:sz="0" w:space="0" w:color="auto"/>
        <w:bottom w:val="none" w:sz="0" w:space="0" w:color="auto"/>
        <w:right w:val="none" w:sz="0" w:space="0" w:color="auto"/>
      </w:divBdr>
    </w:div>
    <w:div w:id="1360088929">
      <w:bodyDiv w:val="1"/>
      <w:marLeft w:val="0"/>
      <w:marRight w:val="0"/>
      <w:marTop w:val="0"/>
      <w:marBottom w:val="0"/>
      <w:divBdr>
        <w:top w:val="none" w:sz="0" w:space="0" w:color="auto"/>
        <w:left w:val="none" w:sz="0" w:space="0" w:color="auto"/>
        <w:bottom w:val="none" w:sz="0" w:space="0" w:color="auto"/>
        <w:right w:val="none" w:sz="0" w:space="0" w:color="auto"/>
      </w:divBdr>
    </w:div>
    <w:div w:id="1373337297">
      <w:bodyDiv w:val="1"/>
      <w:marLeft w:val="0"/>
      <w:marRight w:val="0"/>
      <w:marTop w:val="0"/>
      <w:marBottom w:val="0"/>
      <w:divBdr>
        <w:top w:val="none" w:sz="0" w:space="0" w:color="auto"/>
        <w:left w:val="none" w:sz="0" w:space="0" w:color="auto"/>
        <w:bottom w:val="none" w:sz="0" w:space="0" w:color="auto"/>
        <w:right w:val="none" w:sz="0" w:space="0" w:color="auto"/>
      </w:divBdr>
    </w:div>
    <w:div w:id="1384449557">
      <w:bodyDiv w:val="1"/>
      <w:marLeft w:val="0"/>
      <w:marRight w:val="0"/>
      <w:marTop w:val="0"/>
      <w:marBottom w:val="0"/>
      <w:divBdr>
        <w:top w:val="none" w:sz="0" w:space="0" w:color="auto"/>
        <w:left w:val="none" w:sz="0" w:space="0" w:color="auto"/>
        <w:bottom w:val="none" w:sz="0" w:space="0" w:color="auto"/>
        <w:right w:val="none" w:sz="0" w:space="0" w:color="auto"/>
      </w:divBdr>
    </w:div>
    <w:div w:id="1413501144">
      <w:bodyDiv w:val="1"/>
      <w:marLeft w:val="0"/>
      <w:marRight w:val="0"/>
      <w:marTop w:val="0"/>
      <w:marBottom w:val="0"/>
      <w:divBdr>
        <w:top w:val="none" w:sz="0" w:space="0" w:color="auto"/>
        <w:left w:val="none" w:sz="0" w:space="0" w:color="auto"/>
        <w:bottom w:val="none" w:sz="0" w:space="0" w:color="auto"/>
        <w:right w:val="none" w:sz="0" w:space="0" w:color="auto"/>
      </w:divBdr>
    </w:div>
    <w:div w:id="1438870196">
      <w:bodyDiv w:val="1"/>
      <w:marLeft w:val="0"/>
      <w:marRight w:val="0"/>
      <w:marTop w:val="0"/>
      <w:marBottom w:val="0"/>
      <w:divBdr>
        <w:top w:val="none" w:sz="0" w:space="0" w:color="auto"/>
        <w:left w:val="none" w:sz="0" w:space="0" w:color="auto"/>
        <w:bottom w:val="none" w:sz="0" w:space="0" w:color="auto"/>
        <w:right w:val="none" w:sz="0" w:space="0" w:color="auto"/>
      </w:divBdr>
    </w:div>
    <w:div w:id="1454858410">
      <w:bodyDiv w:val="1"/>
      <w:marLeft w:val="0"/>
      <w:marRight w:val="0"/>
      <w:marTop w:val="0"/>
      <w:marBottom w:val="0"/>
      <w:divBdr>
        <w:top w:val="none" w:sz="0" w:space="0" w:color="auto"/>
        <w:left w:val="none" w:sz="0" w:space="0" w:color="auto"/>
        <w:bottom w:val="none" w:sz="0" w:space="0" w:color="auto"/>
        <w:right w:val="none" w:sz="0" w:space="0" w:color="auto"/>
      </w:divBdr>
    </w:div>
    <w:div w:id="1483037883">
      <w:bodyDiv w:val="1"/>
      <w:marLeft w:val="0"/>
      <w:marRight w:val="0"/>
      <w:marTop w:val="0"/>
      <w:marBottom w:val="0"/>
      <w:divBdr>
        <w:top w:val="none" w:sz="0" w:space="0" w:color="auto"/>
        <w:left w:val="none" w:sz="0" w:space="0" w:color="auto"/>
        <w:bottom w:val="none" w:sz="0" w:space="0" w:color="auto"/>
        <w:right w:val="none" w:sz="0" w:space="0" w:color="auto"/>
      </w:divBdr>
    </w:div>
    <w:div w:id="1525483403">
      <w:bodyDiv w:val="1"/>
      <w:marLeft w:val="0"/>
      <w:marRight w:val="0"/>
      <w:marTop w:val="0"/>
      <w:marBottom w:val="0"/>
      <w:divBdr>
        <w:top w:val="none" w:sz="0" w:space="0" w:color="auto"/>
        <w:left w:val="none" w:sz="0" w:space="0" w:color="auto"/>
        <w:bottom w:val="none" w:sz="0" w:space="0" w:color="auto"/>
        <w:right w:val="none" w:sz="0" w:space="0" w:color="auto"/>
      </w:divBdr>
    </w:div>
    <w:div w:id="1533807811">
      <w:bodyDiv w:val="1"/>
      <w:marLeft w:val="0"/>
      <w:marRight w:val="0"/>
      <w:marTop w:val="0"/>
      <w:marBottom w:val="0"/>
      <w:divBdr>
        <w:top w:val="none" w:sz="0" w:space="0" w:color="auto"/>
        <w:left w:val="none" w:sz="0" w:space="0" w:color="auto"/>
        <w:bottom w:val="none" w:sz="0" w:space="0" w:color="auto"/>
        <w:right w:val="none" w:sz="0" w:space="0" w:color="auto"/>
      </w:divBdr>
      <w:divsChild>
        <w:div w:id="2114744837">
          <w:marLeft w:val="0"/>
          <w:marRight w:val="0"/>
          <w:marTop w:val="0"/>
          <w:marBottom w:val="0"/>
          <w:divBdr>
            <w:top w:val="none" w:sz="0" w:space="0" w:color="auto"/>
            <w:left w:val="none" w:sz="0" w:space="0" w:color="auto"/>
            <w:bottom w:val="none" w:sz="0" w:space="0" w:color="auto"/>
            <w:right w:val="none" w:sz="0" w:space="0" w:color="auto"/>
          </w:divBdr>
        </w:div>
      </w:divsChild>
    </w:div>
    <w:div w:id="1551577015">
      <w:bodyDiv w:val="1"/>
      <w:marLeft w:val="0"/>
      <w:marRight w:val="0"/>
      <w:marTop w:val="0"/>
      <w:marBottom w:val="0"/>
      <w:divBdr>
        <w:top w:val="none" w:sz="0" w:space="0" w:color="auto"/>
        <w:left w:val="none" w:sz="0" w:space="0" w:color="auto"/>
        <w:bottom w:val="none" w:sz="0" w:space="0" w:color="auto"/>
        <w:right w:val="none" w:sz="0" w:space="0" w:color="auto"/>
      </w:divBdr>
    </w:div>
    <w:div w:id="1595624934">
      <w:bodyDiv w:val="1"/>
      <w:marLeft w:val="0"/>
      <w:marRight w:val="0"/>
      <w:marTop w:val="0"/>
      <w:marBottom w:val="0"/>
      <w:divBdr>
        <w:top w:val="none" w:sz="0" w:space="0" w:color="auto"/>
        <w:left w:val="none" w:sz="0" w:space="0" w:color="auto"/>
        <w:bottom w:val="none" w:sz="0" w:space="0" w:color="auto"/>
        <w:right w:val="none" w:sz="0" w:space="0" w:color="auto"/>
      </w:divBdr>
    </w:div>
    <w:div w:id="1605769117">
      <w:bodyDiv w:val="1"/>
      <w:marLeft w:val="0"/>
      <w:marRight w:val="0"/>
      <w:marTop w:val="0"/>
      <w:marBottom w:val="0"/>
      <w:divBdr>
        <w:top w:val="none" w:sz="0" w:space="0" w:color="auto"/>
        <w:left w:val="none" w:sz="0" w:space="0" w:color="auto"/>
        <w:bottom w:val="none" w:sz="0" w:space="0" w:color="auto"/>
        <w:right w:val="none" w:sz="0" w:space="0" w:color="auto"/>
      </w:divBdr>
    </w:div>
    <w:div w:id="1608388122">
      <w:bodyDiv w:val="1"/>
      <w:marLeft w:val="0"/>
      <w:marRight w:val="0"/>
      <w:marTop w:val="0"/>
      <w:marBottom w:val="0"/>
      <w:divBdr>
        <w:top w:val="none" w:sz="0" w:space="0" w:color="auto"/>
        <w:left w:val="none" w:sz="0" w:space="0" w:color="auto"/>
        <w:bottom w:val="none" w:sz="0" w:space="0" w:color="auto"/>
        <w:right w:val="none" w:sz="0" w:space="0" w:color="auto"/>
      </w:divBdr>
    </w:div>
    <w:div w:id="1622808481">
      <w:bodyDiv w:val="1"/>
      <w:marLeft w:val="0"/>
      <w:marRight w:val="0"/>
      <w:marTop w:val="0"/>
      <w:marBottom w:val="0"/>
      <w:divBdr>
        <w:top w:val="none" w:sz="0" w:space="0" w:color="auto"/>
        <w:left w:val="none" w:sz="0" w:space="0" w:color="auto"/>
        <w:bottom w:val="none" w:sz="0" w:space="0" w:color="auto"/>
        <w:right w:val="none" w:sz="0" w:space="0" w:color="auto"/>
      </w:divBdr>
    </w:div>
    <w:div w:id="1637906477">
      <w:bodyDiv w:val="1"/>
      <w:marLeft w:val="0"/>
      <w:marRight w:val="0"/>
      <w:marTop w:val="0"/>
      <w:marBottom w:val="0"/>
      <w:divBdr>
        <w:top w:val="none" w:sz="0" w:space="0" w:color="auto"/>
        <w:left w:val="none" w:sz="0" w:space="0" w:color="auto"/>
        <w:bottom w:val="none" w:sz="0" w:space="0" w:color="auto"/>
        <w:right w:val="none" w:sz="0" w:space="0" w:color="auto"/>
      </w:divBdr>
    </w:div>
    <w:div w:id="1640382474">
      <w:bodyDiv w:val="1"/>
      <w:marLeft w:val="0"/>
      <w:marRight w:val="0"/>
      <w:marTop w:val="0"/>
      <w:marBottom w:val="0"/>
      <w:divBdr>
        <w:top w:val="none" w:sz="0" w:space="0" w:color="auto"/>
        <w:left w:val="none" w:sz="0" w:space="0" w:color="auto"/>
        <w:bottom w:val="none" w:sz="0" w:space="0" w:color="auto"/>
        <w:right w:val="none" w:sz="0" w:space="0" w:color="auto"/>
      </w:divBdr>
      <w:divsChild>
        <w:div w:id="795686641">
          <w:marLeft w:val="0"/>
          <w:marRight w:val="0"/>
          <w:marTop w:val="0"/>
          <w:marBottom w:val="0"/>
          <w:divBdr>
            <w:top w:val="none" w:sz="0" w:space="0" w:color="auto"/>
            <w:left w:val="none" w:sz="0" w:space="0" w:color="auto"/>
            <w:bottom w:val="none" w:sz="0" w:space="0" w:color="auto"/>
            <w:right w:val="none" w:sz="0" w:space="0" w:color="auto"/>
          </w:divBdr>
        </w:div>
      </w:divsChild>
    </w:div>
    <w:div w:id="1682778207">
      <w:bodyDiv w:val="1"/>
      <w:marLeft w:val="0"/>
      <w:marRight w:val="0"/>
      <w:marTop w:val="0"/>
      <w:marBottom w:val="0"/>
      <w:divBdr>
        <w:top w:val="none" w:sz="0" w:space="0" w:color="auto"/>
        <w:left w:val="none" w:sz="0" w:space="0" w:color="auto"/>
        <w:bottom w:val="none" w:sz="0" w:space="0" w:color="auto"/>
        <w:right w:val="none" w:sz="0" w:space="0" w:color="auto"/>
      </w:divBdr>
    </w:div>
    <w:div w:id="1841312189">
      <w:bodyDiv w:val="1"/>
      <w:marLeft w:val="0"/>
      <w:marRight w:val="0"/>
      <w:marTop w:val="0"/>
      <w:marBottom w:val="0"/>
      <w:divBdr>
        <w:top w:val="none" w:sz="0" w:space="0" w:color="auto"/>
        <w:left w:val="none" w:sz="0" w:space="0" w:color="auto"/>
        <w:bottom w:val="none" w:sz="0" w:space="0" w:color="auto"/>
        <w:right w:val="none" w:sz="0" w:space="0" w:color="auto"/>
      </w:divBdr>
    </w:div>
    <w:div w:id="1883861756">
      <w:bodyDiv w:val="1"/>
      <w:marLeft w:val="0"/>
      <w:marRight w:val="0"/>
      <w:marTop w:val="0"/>
      <w:marBottom w:val="0"/>
      <w:divBdr>
        <w:top w:val="none" w:sz="0" w:space="0" w:color="auto"/>
        <w:left w:val="none" w:sz="0" w:space="0" w:color="auto"/>
        <w:bottom w:val="none" w:sz="0" w:space="0" w:color="auto"/>
        <w:right w:val="none" w:sz="0" w:space="0" w:color="auto"/>
      </w:divBdr>
    </w:div>
    <w:div w:id="1904295694">
      <w:bodyDiv w:val="1"/>
      <w:marLeft w:val="0"/>
      <w:marRight w:val="0"/>
      <w:marTop w:val="0"/>
      <w:marBottom w:val="0"/>
      <w:divBdr>
        <w:top w:val="none" w:sz="0" w:space="0" w:color="auto"/>
        <w:left w:val="none" w:sz="0" w:space="0" w:color="auto"/>
        <w:bottom w:val="none" w:sz="0" w:space="0" w:color="auto"/>
        <w:right w:val="none" w:sz="0" w:space="0" w:color="auto"/>
      </w:divBdr>
    </w:div>
    <w:div w:id="1922595998">
      <w:bodyDiv w:val="1"/>
      <w:marLeft w:val="0"/>
      <w:marRight w:val="0"/>
      <w:marTop w:val="0"/>
      <w:marBottom w:val="0"/>
      <w:divBdr>
        <w:top w:val="none" w:sz="0" w:space="0" w:color="auto"/>
        <w:left w:val="none" w:sz="0" w:space="0" w:color="auto"/>
        <w:bottom w:val="none" w:sz="0" w:space="0" w:color="auto"/>
        <w:right w:val="none" w:sz="0" w:space="0" w:color="auto"/>
      </w:divBdr>
    </w:div>
    <w:div w:id="1935434690">
      <w:bodyDiv w:val="1"/>
      <w:marLeft w:val="0"/>
      <w:marRight w:val="0"/>
      <w:marTop w:val="0"/>
      <w:marBottom w:val="0"/>
      <w:divBdr>
        <w:top w:val="none" w:sz="0" w:space="0" w:color="auto"/>
        <w:left w:val="none" w:sz="0" w:space="0" w:color="auto"/>
        <w:bottom w:val="none" w:sz="0" w:space="0" w:color="auto"/>
        <w:right w:val="none" w:sz="0" w:space="0" w:color="auto"/>
      </w:divBdr>
    </w:div>
    <w:div w:id="1944261558">
      <w:bodyDiv w:val="1"/>
      <w:marLeft w:val="0"/>
      <w:marRight w:val="0"/>
      <w:marTop w:val="0"/>
      <w:marBottom w:val="0"/>
      <w:divBdr>
        <w:top w:val="none" w:sz="0" w:space="0" w:color="auto"/>
        <w:left w:val="none" w:sz="0" w:space="0" w:color="auto"/>
        <w:bottom w:val="none" w:sz="0" w:space="0" w:color="auto"/>
        <w:right w:val="none" w:sz="0" w:space="0" w:color="auto"/>
      </w:divBdr>
    </w:div>
    <w:div w:id="1976715651">
      <w:bodyDiv w:val="1"/>
      <w:marLeft w:val="0"/>
      <w:marRight w:val="0"/>
      <w:marTop w:val="0"/>
      <w:marBottom w:val="0"/>
      <w:divBdr>
        <w:top w:val="none" w:sz="0" w:space="0" w:color="auto"/>
        <w:left w:val="none" w:sz="0" w:space="0" w:color="auto"/>
        <w:bottom w:val="none" w:sz="0" w:space="0" w:color="auto"/>
        <w:right w:val="none" w:sz="0" w:space="0" w:color="auto"/>
      </w:divBdr>
    </w:div>
    <w:div w:id="1979459228">
      <w:bodyDiv w:val="1"/>
      <w:marLeft w:val="0"/>
      <w:marRight w:val="0"/>
      <w:marTop w:val="0"/>
      <w:marBottom w:val="0"/>
      <w:divBdr>
        <w:top w:val="none" w:sz="0" w:space="0" w:color="auto"/>
        <w:left w:val="none" w:sz="0" w:space="0" w:color="auto"/>
        <w:bottom w:val="none" w:sz="0" w:space="0" w:color="auto"/>
        <w:right w:val="none" w:sz="0" w:space="0" w:color="auto"/>
      </w:divBdr>
    </w:div>
    <w:div w:id="1991014016">
      <w:bodyDiv w:val="1"/>
      <w:marLeft w:val="0"/>
      <w:marRight w:val="0"/>
      <w:marTop w:val="0"/>
      <w:marBottom w:val="0"/>
      <w:divBdr>
        <w:top w:val="none" w:sz="0" w:space="0" w:color="auto"/>
        <w:left w:val="none" w:sz="0" w:space="0" w:color="auto"/>
        <w:bottom w:val="none" w:sz="0" w:space="0" w:color="auto"/>
        <w:right w:val="none" w:sz="0" w:space="0" w:color="auto"/>
      </w:divBdr>
    </w:div>
    <w:div w:id="2019966284">
      <w:bodyDiv w:val="1"/>
      <w:marLeft w:val="0"/>
      <w:marRight w:val="0"/>
      <w:marTop w:val="0"/>
      <w:marBottom w:val="0"/>
      <w:divBdr>
        <w:top w:val="none" w:sz="0" w:space="0" w:color="auto"/>
        <w:left w:val="none" w:sz="0" w:space="0" w:color="auto"/>
        <w:bottom w:val="none" w:sz="0" w:space="0" w:color="auto"/>
        <w:right w:val="none" w:sz="0" w:space="0" w:color="auto"/>
      </w:divBdr>
    </w:div>
    <w:div w:id="2020354592">
      <w:bodyDiv w:val="1"/>
      <w:marLeft w:val="0"/>
      <w:marRight w:val="0"/>
      <w:marTop w:val="0"/>
      <w:marBottom w:val="0"/>
      <w:divBdr>
        <w:top w:val="none" w:sz="0" w:space="0" w:color="auto"/>
        <w:left w:val="none" w:sz="0" w:space="0" w:color="auto"/>
        <w:bottom w:val="none" w:sz="0" w:space="0" w:color="auto"/>
        <w:right w:val="none" w:sz="0" w:space="0" w:color="auto"/>
      </w:divBdr>
    </w:div>
    <w:div w:id="2027513914">
      <w:bodyDiv w:val="1"/>
      <w:marLeft w:val="0"/>
      <w:marRight w:val="0"/>
      <w:marTop w:val="0"/>
      <w:marBottom w:val="0"/>
      <w:divBdr>
        <w:top w:val="none" w:sz="0" w:space="0" w:color="auto"/>
        <w:left w:val="none" w:sz="0" w:space="0" w:color="auto"/>
        <w:bottom w:val="none" w:sz="0" w:space="0" w:color="auto"/>
        <w:right w:val="none" w:sz="0" w:space="0" w:color="auto"/>
      </w:divBdr>
    </w:div>
    <w:div w:id="2039774817">
      <w:bodyDiv w:val="1"/>
      <w:marLeft w:val="0"/>
      <w:marRight w:val="0"/>
      <w:marTop w:val="0"/>
      <w:marBottom w:val="0"/>
      <w:divBdr>
        <w:top w:val="none" w:sz="0" w:space="0" w:color="auto"/>
        <w:left w:val="none" w:sz="0" w:space="0" w:color="auto"/>
        <w:bottom w:val="none" w:sz="0" w:space="0" w:color="auto"/>
        <w:right w:val="none" w:sz="0" w:space="0" w:color="auto"/>
      </w:divBdr>
    </w:div>
    <w:div w:id="2062098457">
      <w:bodyDiv w:val="1"/>
      <w:marLeft w:val="0"/>
      <w:marRight w:val="0"/>
      <w:marTop w:val="0"/>
      <w:marBottom w:val="0"/>
      <w:divBdr>
        <w:top w:val="none" w:sz="0" w:space="0" w:color="auto"/>
        <w:left w:val="none" w:sz="0" w:space="0" w:color="auto"/>
        <w:bottom w:val="none" w:sz="0" w:space="0" w:color="auto"/>
        <w:right w:val="none" w:sz="0" w:space="0" w:color="auto"/>
      </w:divBdr>
    </w:div>
    <w:div w:id="2064328289">
      <w:bodyDiv w:val="1"/>
      <w:marLeft w:val="0"/>
      <w:marRight w:val="0"/>
      <w:marTop w:val="0"/>
      <w:marBottom w:val="0"/>
      <w:divBdr>
        <w:top w:val="none" w:sz="0" w:space="0" w:color="auto"/>
        <w:left w:val="none" w:sz="0" w:space="0" w:color="auto"/>
        <w:bottom w:val="none" w:sz="0" w:space="0" w:color="auto"/>
        <w:right w:val="none" w:sz="0" w:space="0" w:color="auto"/>
      </w:divBdr>
    </w:div>
    <w:div w:id="2098473409">
      <w:bodyDiv w:val="1"/>
      <w:marLeft w:val="0"/>
      <w:marRight w:val="0"/>
      <w:marTop w:val="0"/>
      <w:marBottom w:val="0"/>
      <w:divBdr>
        <w:top w:val="none" w:sz="0" w:space="0" w:color="auto"/>
        <w:left w:val="none" w:sz="0" w:space="0" w:color="auto"/>
        <w:bottom w:val="none" w:sz="0" w:space="0" w:color="auto"/>
        <w:right w:val="none" w:sz="0" w:space="0" w:color="auto"/>
      </w:divBdr>
    </w:div>
    <w:div w:id="21468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238-39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1-0304-613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Gui04</b:Tag>
    <b:SourceType>Book</b:SourceType>
    <b:Guid>{653AF2CE-65DE-4EE8-97A3-DFA5A0555286}</b:Guid>
    <b:Title>Diccionario jurídico</b:Title>
    <b:Year>2004</b:Year>
    <b:Pages>417</b:Pages>
    <b:City>Bogotá D.C.</b:City>
    <b:Publisher>Editorial Temis S.A.</b:Publisher>
    <b:CountryRegion>Colombia</b:CountryRegion>
    <b:Edition>Segunda</b:Edition>
    <b:Author>
      <b:Author>
        <b:NameList>
          <b:Person>
            <b:Last>Guillien</b:Last>
            <b:First>Raymond</b:First>
          </b:Person>
          <b:Person>
            <b:Last>Vincent</b:Last>
            <b:First>Jean</b:First>
          </b:Person>
        </b:NameList>
      </b:Author>
    </b:Author>
    <b:RefOrder>1</b:RefOrder>
  </b:Source>
  <b:Source>
    <b:Tag>Col15</b:Tag>
    <b:SourceType>Book</b:SourceType>
    <b:Guid>{13A1392D-ECF2-463D-898D-0F4EB2E3BC89}</b:Guid>
    <b:Title>El proceso monitorio en el código general del proceso</b:Title>
    <b:Year>2015</b:Year>
    <b:City>Bogotá D.C.</b:City>
    <b:Publisher>Editorial Temis S.A.</b:Publisher>
    <b:CountryRegion>Colombia</b:CountryRegion>
    <b:Pages>154</b:Pages>
    <b:Edition>Primera</b:Edition>
    <b:Author>
      <b:Author>
        <b:NameList>
          <b:Person>
            <b:Last>Colmenares Uribe</b:Last>
            <b:Middle>Alberto</b:Middle>
            <b:First>Carlos</b:First>
          </b:Person>
        </b:NameList>
      </b:Author>
    </b:Author>
    <b:RefOrder>2</b:RefOrder>
  </b:Source>
  <b:Source>
    <b:Tag>Yañ14</b:Tag>
    <b:SourceType>BookSection</b:SourceType>
    <b:Guid>{2A34746A-DABE-4E04-B2AA-0D6C65483C0E}</b:Guid>
    <b:Title>La investigación jurídica: necesidad de la ficha de análisis jurisprudencial en el arte del derecho</b:Title>
    <b:Year>2014</b:Year>
    <b:City>Bogotá D.C.</b:City>
    <b:CountryRegion>Colombia</b:CountryRegion>
    <b:Publisher>Grupo Editorial Ibáñez &amp; Universidad de Pamplona</b:Publisher>
    <b:BookTitle>Método, metodología y técnicas de la investigación aplicadas al derecho</b:BookTitle>
    <b:Pages>77-103</b:Pages>
    <b:Author>
      <b:Author>
        <b:NameList>
          <b:Person>
            <b:Last>Yañez Meza</b:Last>
            <b:Middle>Armando</b:Middle>
            <b:First>Diego</b:First>
          </b:Person>
        </b:NameList>
      </b:Author>
      <b:BookAuthor>
        <b:NameList>
          <b:Person>
            <b:Last>Clavijo Cáceres</b:Last>
            <b:First>Darwin</b:First>
          </b:Person>
          <b:Person>
            <b:Last>Guerra Moreno</b:Last>
            <b:First>Débora</b:First>
          </b:Person>
          <b:Person>
            <b:Last>Yañez Meza</b:Last>
            <b:Middle>Armando</b:Middle>
            <b:First>Diego</b:First>
          </b:Person>
        </b:NameList>
      </b:BookAuthor>
    </b:Author>
    <b:Edition>Primera</b:Edition>
    <b:RefOrder>3</b:RefOrder>
  </b:Source>
  <b:Source>
    <b:Tag>Lóp08</b:Tag>
    <b:SourceType>Book</b:SourceType>
    <b:Guid>{CB2A1F6B-F0FC-2B4C-9369-3AECF059A463}</b:Guid>
    <b:Title>El derecho de los jueces. Obligatoriedad del precedente constitucional, análisis de sentencias y líneas jurisprudenciales y teoría del derecho judicial</b:Title>
    <b:Year>2008</b:Year>
    <b:City>Bogotá D.C.</b:City>
    <b:CountryRegion>Colombia</b:CountryRegion>
    <b:Publisher>Legis Editores S.A.</b:Publisher>
    <b:Pages>366</b:Pages>
    <b:Edition>Segunda</b:Edition>
    <b:Author>
      <b:Author>
        <b:NameList>
          <b:Person>
            <b:Last>López Medina</b:Last>
            <b:Middle>Eduardo</b:Middle>
            <b:First>Diego</b:First>
          </b:Person>
        </b:NameList>
      </b:Author>
    </b:Author>
    <b:RefOrder>61</b:RefOrder>
  </b:Source>
  <b:Source>
    <b:Tag>Dec91</b:Tag>
    <b:SourceType>Misc</b:SourceType>
    <b:Guid>{CF2DBFFE-7306-41BB-A5A5-3EC2FDF566B2}</b:Guid>
    <b:Title>Departamento Administrativo de la Presidencia de la República</b:Title>
    <b:PublicationTitle>por el cual se reglamenta la acción de tutela consagrada en el artículo 86 de la Constitución Política.</b:PublicationTitle>
    <b:Year>1991</b:Year>
    <b:Month>noviembre</b:Month>
    <b:Day>19</b:Day>
    <b:City>Bogotá D.C.</b:City>
    <b:CountryRegion>Colombia</b:CountryRegion>
    <b:Publisher>Diario Oficial No. 40.165 de 19 de noviembre de 1991</b:Publisher>
    <b:Author>
      <b:Author>
        <b:NameList>
          <b:Person>
            <b:Last>Decreto 2591</b:Last>
          </b:Person>
        </b:NameList>
      </b:Author>
    </b:Author>
    <b:URL>http://www.secretariasenado.gov.co/index.php/vigencia-expresa-y-sentencias-de-constitucionalidad</b:URL>
    <b:RefOrder>62</b:RefOrder>
  </b:Source>
  <b:Source>
    <b:Tag>Sen044</b:Tag>
    <b:SourceType>Misc</b:SourceType>
    <b:Guid>{184672E8-1506-435F-AD6F-C4456468E8C1}</b:Guid>
    <b:Title>Corte Constitucional. Sala Plena</b:Title>
    <b:Year>2004</b:Year>
    <b:City>Bogotá D.C.</b:City>
    <b:Publisher>Referencia: expediente D-4709</b:Publisher>
    <b:CountryRegion>Colombia</b:CountryRegion>
    <b:URL>http://www.corteconstitucional.gov.co/relatoria/2004/C-041-04.htm</b:URL>
    <b:Author>
      <b:Author>
        <b:NameList>
          <b:Person>
            <b:Last>Sentencia C-041</b:Last>
          </b:Person>
        </b:NameList>
      </b:Author>
    </b:Author>
    <b:PublicationTitle>M.P.: Clara Inés Vargas Hernández</b:PublicationTitle>
    <b:Month>enero</b:Month>
    <b:Day>27</b:Day>
    <b:RefOrder>8</b:RefOrder>
  </b:Source>
  <b:Source>
    <b:Tag>Sen01</b:Tag>
    <b:SourceType>Misc</b:SourceType>
    <b:Guid>{3839FEF5-8783-4DDC-9D0E-E35B1990FC62}</b:Guid>
    <b:Title>Corte Constitucional. Sala Plena</b:Title>
    <b:PublicationTitle>M.P.: Manuel José Cepeda Espinosa</b:PublicationTitle>
    <b:Year>2001</b:Year>
    <b:Month>octubre</b:Month>
    <b:Day>4</b:Day>
    <b:City>Bogotá D.C.</b:City>
    <b:CountryRegion>Colombia</b:CountryRegion>
    <b:Publisher>Referencia: expediente D-3472</b:Publisher>
    <b:URL>http://www.corteconstitucional.gov.co/relatoria/2001/C-1052-01.htm</b:URL>
    <b:Author>
      <b:Author>
        <b:NameList>
          <b:Person>
            <b:Last>Sentencia C-1052</b:Last>
          </b:Person>
        </b:NameList>
      </b:Author>
    </b:Author>
    <b:RefOrder>6</b:RefOrder>
  </b:Source>
  <b:Source>
    <b:Tag>Aut04</b:Tag>
    <b:SourceType>Misc</b:SourceType>
    <b:Guid>{5D0A39E9-7A0D-4DEC-99B3-7FD59FB69392}</b:Guid>
    <b:Title>Corte Constitucional. Sala Plena</b:Title>
    <b:PublicationTitle>M.P.: Jaime Córdoba Triviño</b:PublicationTitle>
    <b:Year>2004</b:Year>
    <b:Month>noviembre</b:Month>
    <b:Day>16</b:Day>
    <b:City>Bogotá D.C.</b:City>
    <b:CountryRegion>Colombia</b:CountryRegion>
    <b:Publisher>Referencia: Solicitudes de nulidad y aclaración de la Sentencia C-816-04 proferida por la Sala Plena de la Corporación</b:Publisher>
    <b:URL>http://www.corteconstitucional.gov.co/relatoria/autos/2004/A169-04.htm</b:URL>
    <b:Author>
      <b:Author>
        <b:NameList>
          <b:Person>
            <b:Last>Auto 169</b:Last>
          </b:Person>
        </b:NameList>
      </b:Author>
    </b:Author>
    <b:RefOrder>10</b:RefOrder>
  </b:Source>
  <b:Source>
    <b:Tag>Sen045</b:Tag>
    <b:SourceType>Misc</b:SourceType>
    <b:Guid>{A651885E-83CE-46BA-81F6-D8FFCBB1B229}</b:Guid>
    <b:Title>Corte Constitucional. Sala Plena</b:Title>
    <b:PublicationTitle>M.P.: Alfredo Beltrán Sierra</b:PublicationTitle>
    <b:Year>2004</b:Year>
    <b:Month>julio</b:Month>
    <b:Day>13</b:Day>
    <b:City>Bogotá D.C.</b:City>
    <b:CountryRegion>Colombia</b:CountryRegion>
    <b:Publisher>Referencia: expediente D-5037</b:Publisher>
    <b:URL>http://www.corteconstitucional.gov.co/relatoria/2004/C-668-04.htm</b:URL>
    <b:Author>
      <b:Author>
        <b:NameList>
          <b:Person>
            <b:Last>Sentencia C-668</b:Last>
          </b:Person>
        </b:NameList>
      </b:Author>
    </b:Author>
    <b:RefOrder>12</b:RefOrder>
  </b:Source>
  <b:Source>
    <b:Tag>Sen083</b:Tag>
    <b:SourceType>Misc</b:SourceType>
    <b:Guid>{87AB6C7D-0677-477D-9FC1-E6BE85151986}</b:Guid>
    <b:Title>Corte Constitucional. Sala Plena</b:Title>
    <b:PublicationTitle>M.P.: Rodrigo Escobar Gil</b:PublicationTitle>
    <b:Year>2008</b:Year>
    <b:Month>marzo</b:Month>
    <b:Day>6</b:Day>
    <b:City>Bogotá D.C.</b:City>
    <b:CountryRegion>Colombia</b:CountryRegion>
    <b:Publisher>Referencia: expediente D-6899</b:Publisher>
    <b:URL>http://www.corteconstitucional.gov.co/relatoria/2008/C-230A-08.htm</b:URL>
    <b:Author>
      <b:Author>
        <b:NameList>
          <b:Person>
            <b:Last>Sentencia C-230A</b:Last>
          </b:Person>
        </b:NameList>
      </b:Author>
    </b:Author>
    <b:RefOrder>14</b:RefOrder>
  </b:Source>
  <b:Source>
    <b:Tag>Sen062</b:Tag>
    <b:SourceType>Misc</b:SourceType>
    <b:Guid>{68FC2A7B-EB99-4EEE-A78E-93D6359CA38E}</b:Guid>
    <b:Title>Corte Constitucional. Sala Plena</b:Title>
    <b:PublicationTitle>M.P.: Rodrigo Escobar Gil</b:PublicationTitle>
    <b:Year>2006</b:Year>
    <b:Month>febrero</b:Month>
    <b:Day>8</b:Day>
    <b:City>Bogotá D.C.</b:City>
    <b:CountryRegion>Colombia</b:CountryRegion>
    <b:Publisher>Referencia: expediente D-5747</b:Publisher>
    <b:URL>http://www.corteconstitucional.gov.co/relatoria/2006/C-075-06.htm</b:URL>
    <b:Author>
      <b:Author>
        <b:NameList>
          <b:Person>
            <b:Last>Sentencia C-075</b:Last>
          </b:Person>
        </b:NameList>
      </b:Author>
    </b:Author>
    <b:RefOrder>15</b:RefOrder>
  </b:Source>
  <b:Source>
    <b:Tag>Sen046</b:Tag>
    <b:SourceType>Misc</b:SourceType>
    <b:Guid>{7FF8EE1E-75F2-4A31-B6BD-D386D57D829F}</b:Guid>
    <b:Title>Corte Constitucional. Sala Plena</b:Title>
    <b:PublicationTitle>M.P.: Rodrigo Escobar Gil</b:PublicationTitle>
    <b:Year>2004</b:Year>
    <b:Month>julio</b:Month>
    <b:Day>8</b:Day>
    <b:City>Bogotá D.C.</b:City>
    <b:CountryRegion>Colombia</b:CountryRegion>
    <b:Publisher>Referencia: expediente LAT-250</b:Publisher>
    <b:URL>http://www.corteconstitucional.gov.co/relatoria/2004/C-644-04.htm</b:URL>
    <b:Author>
      <b:Author>
        <b:NameList>
          <b:Person>
            <b:Last>Sentencia C-644</b:Last>
          </b:Person>
        </b:NameList>
      </b:Author>
    </b:Author>
    <b:RefOrder>17</b:RefOrder>
  </b:Source>
  <b:Source>
    <b:Tag>Sen95</b:Tag>
    <b:SourceType>Misc</b:SourceType>
    <b:Guid>{F6496FE7-A119-4C03-8E40-39A2E4CA9E5E}</b:Guid>
    <b:Title>Corte Constitucional. Sala Plena</b:Title>
    <b:PublicationTitle>M.P.: Fabio Morón Díaz</b:PublicationTitle>
    <b:Year>1995</b:Year>
    <b:Month>febrero</b:Month>
    <b:Day>2</b:Day>
    <b:City>Bogotá D.C.</b:City>
    <b:CountryRegion>Colombia</b:CountryRegion>
    <b:Publisher>REF:    Expediente No. D-660</b:Publisher>
    <b:URL>http://www.corteconstitucional.gov.co/relatoria/1995/C-028-95.htm</b:URL>
    <b:Author>
      <b:Author>
        <b:NameList>
          <b:Person>
            <b:Last>Sentencia C-028</b:Last>
          </b:Person>
        </b:NameList>
      </b:Author>
    </b:Author>
    <b:RefOrder>16</b:RefOrder>
  </b:Source>
  <b:Source>
    <b:Tag>Sen03</b:Tag>
    <b:SourceType>Misc</b:SourceType>
    <b:Guid>{6C612CDC-D56C-4051-9E4A-1C89B498ED7A}</b:Guid>
    <b:Title>Corte Constitucional. Sala Cuarta de Revisión</b:Title>
    <b:PublicationTitle>M.P.: Jaime Córdoba Triviño</b:PublicationTitle>
    <b:Year>2003</b:Year>
    <b:Month>abril</b:Month>
    <b:Day>11</b:Day>
    <b:City>Bogotá D.C.</b:City>
    <b:CountryRegion>Colombia</b:CountryRegion>
    <b:Publisher>Referencia: expediente T-687050</b:Publisher>
    <b:URL>http://www.corteconstitucional.gov.co/relatoria/2003/T-299-03.htm</b:URL>
    <b:Author>
      <b:Author>
        <b:NameList>
          <b:Person>
            <b:Last>Sentencia T-299</b:Last>
          </b:Person>
        </b:NameList>
      </b:Author>
    </b:Author>
    <b:RefOrder>11</b:RefOrder>
  </b:Source>
  <b:Source>
    <b:Tag>Sen026</b:Tag>
    <b:SourceType>Misc</b:SourceType>
    <b:Guid>{607F49BB-D4A8-46CE-8703-5D67E41D912A}</b:Guid>
    <b:Title>Corte Constitucional. Sala Plena</b:Title>
    <b:PublicationTitle>M.P.: Jaime Córdoba Triviño</b:PublicationTitle>
    <b:Year>2002</b:Year>
    <b:Month>julio</b:Month>
    <b:Day>10</b:Day>
    <b:City>Bogotá D.C.</b:City>
    <b:CountryRegion>Colombia</b:CountryRegion>
    <b:Publisher>Referencia: expediente D-3830</b:Publisher>
    <b:URL>http://www.corteconstitucional.gov.co/relatoria/2002/C-522-02.htm</b:URL>
    <b:Author>
      <b:Author>
        <b:NameList>
          <b:Person>
            <b:Last>Sentencia C-522</b:Last>
          </b:Person>
        </b:NameList>
      </b:Author>
    </b:Author>
    <b:RefOrder>18</b:RefOrder>
  </b:Source>
  <b:Source>
    <b:Tag>Sen983</b:Tag>
    <b:SourceType>Misc</b:SourceType>
    <b:Guid>{7F68738A-CED7-4D89-AF0E-2BD327C9AFCC}</b:Guid>
    <b:Title>Corte Constitucional. Sala Plena</b:Title>
    <b:PublicationTitle>M.P.: Eduardo Cifuentes Muñoz</b:PublicationTitle>
    <b:Year>1998</b:Year>
    <b:Month>diciembre</b:Month>
    <b:Day>2</b:Day>
    <b:City>Bogotá D.C.</b:City>
    <b:CountryRegion>Colombia</b:CountryRegion>
    <b:Publisher>Referencia: Expediente T-152455</b:Publisher>
    <b:URL>http://www.corteconstitucional.gov.co/relatoria/1998/SU747-98.htm</b:URL>
    <b:Author>
      <b:Author>
        <b:NameList>
          <b:Person>
            <b:Last>Sentencia U-747</b:Last>
          </b:Person>
        </b:NameList>
      </b:Author>
    </b:Author>
    <b:RefOrder>19</b:RefOrder>
  </b:Source>
  <b:Source>
    <b:Tag>Sen052</b:Tag>
    <b:SourceType>Misc</b:SourceType>
    <b:Guid>{3C9E9BE3-A4DD-43F0-B89C-CD2B93B4E28F}</b:Guid>
    <b:Title>Corte Constitucional. Sala Plena</b:Title>
    <b:PublicationTitle>M.P.: Jaime Córdoba Triviño</b:PublicationTitle>
    <b:Year>2005</b:Year>
    <b:Month>julio</b:Month>
    <b:Day>6</b:Day>
    <b:City>Bogotá D.C.</b:City>
    <b:CountryRegion>Colombia</b:CountryRegion>
    <b:Publisher>Referencia: expediente D-5577</b:Publisher>
    <b:URL>http://www.corteconstitucional.gov.co/relatoria/2005/C-707-05.htm</b:URL>
    <b:Author>
      <b:Author>
        <b:NameList>
          <b:Person>
            <b:Last>Sentencia C-707</b:Last>
          </b:Person>
        </b:NameList>
      </b:Author>
    </b:Author>
    <b:RefOrder>20</b:RefOrder>
  </b:Source>
  <b:Source>
    <b:Tag>Sen053</b:Tag>
    <b:SourceType>Misc</b:SourceType>
    <b:Guid>{B5BAD8F7-15E1-4615-AE67-7C7A6468412D}</b:Guid>
    <b:Title>Corte Constitucional. Sala Plena</b:Title>
    <b:PublicationTitle>M.P: Manuel José Cepeda Espinosa y otros</b:PublicationTitle>
    <b:Year>2005</b:Year>
    <b:Month>octubre</b:Month>
    <b:Day>19</b:Day>
    <b:City>Bogotá D.C.</b:City>
    <b:CountryRegion>Colombia</b:CountryRegion>
    <b:Publisher>Referencia: expediente D-5645.</b:Publisher>
    <b:URL>http://www.corteconstitucional.gov.co/relatoria/2005/C-1040-05.htm</b:URL>
    <b:Author>
      <b:Author>
        <b:NameList>
          <b:Person>
            <b:Last>Sentencia C-1040</b:Last>
          </b:Person>
        </b:NameList>
      </b:Author>
    </b:Author>
    <b:RefOrder>4</b:RefOrder>
  </b:Source>
  <b:Source>
    <b:Tag>Sen054</b:Tag>
    <b:SourceType>Misc</b:SourceType>
    <b:Guid>{154AE7AE-8932-4011-B66C-2C25E3691EB7}</b:Guid>
    <b:Title>Corte Constitucional. Sala Quinta de Revisión</b:Title>
    <b:PublicationTitle>M.P.: Rodrigo Escobar Gil</b:PublicationTitle>
    <b:Year>2005</b:Year>
    <b:Month>noviembre</b:Month>
    <b:Day>10</b:Day>
    <b:City>Bogotá D.C.</b:City>
    <b:CountryRegion>Colombia</b:CountryRegion>
    <b:Publisher>Referencia: expedientes T-1152909 y T-1152912</b:Publisher>
    <b:URL>http://www.corteconstitucional.gov.co/relatoria/2005/T-1145-05.htm</b:URL>
    <b:Author>
      <b:Author>
        <b:NameList>
          <b:Person>
            <b:Last>Sentencia T-1145</b:Last>
          </b:Person>
        </b:NameList>
      </b:Author>
    </b:Author>
    <b:RefOrder>13</b:RefOrder>
  </b:Source>
  <b:Source>
    <b:Tag>Sen031</b:Tag>
    <b:SourceType>Misc</b:SourceType>
    <b:Guid>{4F28A996-DE0C-42D6-B80A-9565AB3BFA14}</b:Guid>
    <b:Title>Corte Constitucional. Sala Plena</b:Title>
    <b:PublicationTitle>M.P.: Eduardo Montealegre Lynett</b:PublicationTitle>
    <b:Year>2003</b:Year>
    <b:Month>abril</b:Month>
    <b:Day>8</b:Day>
    <b:City>Bogotá D.C.</b:City>
    <b:CountryRegion>Colombia</b:CountryRegion>
    <b:Publisher>Referencia: expediente PE-016</b:Publisher>
    <b:URL>http://www.corteconstitucional.gov.co/relatoria/2003/C-292-03.htm</b:URL>
    <b:Author>
      <b:Author>
        <b:NameList>
          <b:Person>
            <b:Last>Sentencia C-292</b:Last>
          </b:Person>
        </b:NameList>
      </b:Author>
    </b:Author>
    <b:RefOrder>21</b:RefOrder>
  </b:Source>
  <b:Source>
    <b:Tag>Sen1310</b:Tag>
    <b:SourceType>Misc</b:SourceType>
    <b:Guid>{46F561C2-AA5A-4558-912C-6A6977BDEAED}</b:Guid>
    <b:Title>Corte Constitucional. Sala Plena</b:Title>
    <b:PublicationTitle>M.P.: Luis Guillermo Guerrero Pérez</b:PublicationTitle>
    <b:Year>2013</b:Year>
    <b:Month>marzo</b:Month>
    <b:Day>6</b:Day>
    <b:City>Bogotá D.C.</b:City>
    <b:CountryRegion>Colombia</b:CountryRegion>
    <b:Publisher>Referencia: expedientes D-9237 y D-9238.</b:Publisher>
    <b:URL>http://www.corteconstitucional.gov.co/relatoria/2013/C-105-13.htm</b:URL>
    <b:Author>
      <b:Author>
        <b:NameList>
          <b:Person>
            <b:Last>Sentencia C-105</b:Last>
          </b:Person>
        </b:NameList>
      </b:Author>
    </b:Author>
    <b:RefOrder>22</b:RefOrder>
  </b:Source>
  <b:Source>
    <b:Tag>Sen063</b:Tag>
    <b:SourceType>Misc</b:SourceType>
    <b:Guid>{066751B3-119F-4F99-B261-2E2318F361AE}</b:Guid>
    <b:Title>Corte Constitucional. Sala Sexta de Revisión</b:Title>
    <b:PublicationTitle>M.P.: Marco Gerardo Monroy Cabra</b:PublicationTitle>
    <b:Year>2006</b:Year>
    <b:Month>junio</b:Month>
    <b:Day>8</b:Day>
    <b:City>Bogotá D.C.</b:City>
    <b:CountryRegion>Colombia</b:CountryRegion>
    <b:Publisher>Referencia: expediente T-1294319</b:Publisher>
    <b:URL>http://www.corteconstitucional.gov.co/relatoria/2006/T-460-06.htm</b:URL>
    <b:Author>
      <b:Author>
        <b:NameList>
          <b:Person>
            <b:Last>Sentencia T-460</b:Last>
          </b:Person>
        </b:NameList>
      </b:Author>
    </b:Author>
    <b:RefOrder>5</b:RefOrder>
  </b:Source>
  <b:Source>
    <b:Tag>Sen064</b:Tag>
    <b:SourceType>Misc</b:SourceType>
    <b:Guid>{F007DBDF-1CE2-46AF-A502-DEA4B46B3C57}</b:Guid>
    <b:Title>Corte Constitucional. Sala Novena de Revisión</b:Title>
    <b:PublicationTitle>M.P.: Clara Inés Vargas Hernández</b:PublicationTitle>
    <b:Year>2006</b:Year>
    <b:Month>julio</b:Month>
    <b:Day>13</b:Day>
    <b:City>Bogotá D.C.</b:City>
    <b:CountryRegion>Colombia</b:CountryRegion>
    <b:Publisher>Referencia: expediente T-1321180</b:Publisher>
    <b:URL>http://www.corteconstitucional.gov.co/relatoria/2006/T-542-06.htm</b:URL>
    <b:Author>
      <b:Author>
        <b:NameList>
          <b:Person>
            <b:Last>Sentencia T-542</b:Last>
          </b:Person>
        </b:NameList>
      </b:Author>
    </b:Author>
    <b:RefOrder>7</b:RefOrder>
  </b:Source>
  <b:Source>
    <b:Tag>Sen011</b:Tag>
    <b:SourceType>Misc</b:SourceType>
    <b:Guid>{8AA33277-2B99-4E35-ABB6-49C5B877E441}</b:Guid>
    <b:Title>Corte Constitucional. Sala Tercera de Revisión</b:Title>
    <b:PublicationTitle>M.P.: Manuel José Cepeda Espinosa</b:PublicationTitle>
    <b:Year>2001</b:Year>
    <b:Month>junio15</b:Month>
    <b:City>Bogotá D.C.</b:City>
    <b:CountryRegion>Colombia</b:CountryRegion>
    <b:Publisher>Referencia: expediente T-422696</b:Publisher>
    <b:URL>http://www.corteconstitucional.gov.co/relatoria/2001/T-637-01.htm</b:URL>
    <b:Author>
      <b:Author>
        <b:NameList>
          <b:Person>
            <b:Last>Sentencia T-637</b:Last>
          </b:Person>
        </b:NameList>
      </b:Author>
    </b:Author>
    <b:RefOrder>9</b:RefOrder>
  </b:Source>
  <b:Source>
    <b:Tag>DeO97</b:Tag>
    <b:SourceType>Book</b:SourceType>
    <b:Guid>{249FFA1B-CAE7-4D36-ABB9-458208CE76E3}</b:Guid>
    <b:Title>Derecho constitucional. Sistema de fuentes</b:Title>
    <b:Year>1997</b:Year>
    <b:City>Barcelona</b:City>
    <b:CountryRegion>España</b:CountryRegion>
    <b:Publisher>Editorial Ariel, S.A.</b:Publisher>
    <b:Edition>Primera</b:Edition>
    <b:Author>
      <b:Author>
        <b:NameList>
          <b:Person>
            <b:Last>De Otto</b:Last>
            <b:First>Ignacio</b:First>
          </b:Person>
        </b:NameList>
      </b:Author>
    </b:Author>
    <b:RefOrder>23</b:RefOrder>
  </b:Source>
  <b:Source>
    <b:Tag>Sen107</b:Tag>
    <b:SourceType>Misc</b:SourceType>
    <b:Guid>{8A4BF7A9-A25E-4363-8A37-F8C0B3CA6C93}</b:Guid>
    <b:Title>Corte Constitucional. Sala Plena</b:Title>
    <b:Year>2010</b:Year>
    <b:City>Bogotá D.C.</b:City>
    <b:Publisher>Referencia: expediente CRF-003</b:Publisher>
    <b:CountryRegion>Colombia</b:CountryRegion>
    <b:URL>http://www.corteconstitucional.gov.co/relatoria/2010/C-141-10.htm</b:URL>
    <b:Author>
      <b:Author>
        <b:NameList>
          <b:Person>
            <b:Last>Sentencia C-141</b:Last>
          </b:Person>
        </b:NameList>
      </b:Author>
    </b:Author>
    <b:PublicationTitle>M.P.: Humberto Antonio Sierra Porto</b:PublicationTitle>
    <b:Month>febrero</b:Month>
    <b:Day>26</b:Day>
    <b:RefOrder>24</b:RefOrder>
  </b:Source>
  <b:Source>
    <b:Tag>Sen945</b:Tag>
    <b:SourceType>Misc</b:SourceType>
    <b:Guid>{14153E20-7496-4A70-8E97-2E15D52A733C}</b:Guid>
    <b:Title>Corte Constitucional. Sala Plena</b:Title>
    <b:PublicationTitle>M.P.: Hernando Herrera Vergara</b:PublicationTitle>
    <b:Year>1994</b:Year>
    <b:Month>abril</b:Month>
    <b:Day>14</b:Day>
    <b:City>Bogotá D.C.</b:City>
    <b:CountryRegion>Colombia</b:CountryRegion>
    <b:Publisher>REF.:  Expediente No. P.E. - 005</b:Publisher>
    <b:URL>http://www.corteconstitucional.gov.co/relatoria/1994/C-180-94.htm</b:URL>
    <b:Author>
      <b:Author>
        <b:NameList>
          <b:Person>
            <b:Last>Sentencia C-180</b:Last>
          </b:Person>
        </b:NameList>
      </b:Author>
    </b:Author>
    <b:RefOrder>25</b:RefOrder>
  </b:Source>
  <b:Source>
    <b:Tag>Sen114</b:Tag>
    <b:SourceType>Misc</b:SourceType>
    <b:Guid>{C9F41EAE-FBAF-4045-B925-806819DC8D97}</b:Guid>
    <b:Title>Corte Constitucional. Sala Plena</b:Title>
    <b:PublicationTitle>M.P.: Luis Ernesto Vargas Silva</b:PublicationTitle>
    <b:Year>2011</b:Year>
    <b:Month>junio</b:Month>
    <b:Day>23</b:Day>
    <b:City>Bogotá D.C.</b:City>
    <b:CountryRegion>Colombia</b:CountryRegion>
    <b:Publisher>Referencia: expediente PE-031</b:Publisher>
    <b:Author>
      <b:Author>
        <b:NameList>
          <b:Person>
            <b:Last>Sentencia C-490</b:Last>
          </b:Person>
        </b:NameList>
      </b:Author>
    </b:Author>
    <b:URL>http://www.corteconstitucional.gov.co/relatoria/2011/C-490-11.htm</b:URL>
    <b:RefOrder>26</b:RefOrder>
  </b:Source>
  <b:Source>
    <b:Tag>Sen946</b:Tag>
    <b:SourceType>Misc</b:SourceType>
    <b:Guid>{38112DFF-1187-41E0-889F-A4ECA42C7106}</b:Guid>
    <b:Title>Corte Constitucional. Sala Plena</b:Title>
    <b:PublicationTitle>M.P.: Antonio Barrera Carbonell</b:PublicationTitle>
    <b:Year>1994</b:Year>
    <b:Month>febrero</b:Month>
    <b:Day>3</b:Day>
    <b:City>Bogotá D.C.</b:City>
    <b:CountryRegion>Colombia</b:CountryRegion>
    <b:Publisher>Referencia: expediente D-358</b:Publisher>
    <b:URL>http://www.corteconstitucional.gov.co/relatoria/1994/C-037-94.htm</b:URL>
    <b:Author>
      <b:Author>
        <b:NameList>
          <b:Person>
            <b:Last>Sentencia C-037</b:Last>
          </b:Person>
        </b:NameList>
      </b:Author>
    </b:Author>
    <b:RefOrder>27</b:RefOrder>
  </b:Source>
  <b:Source>
    <b:Tag>Ley12</b:Tag>
    <b:SourceType>Misc</b:SourceType>
    <b:Guid>{ABA95A74-1781-4A27-A23D-ACF1F8D36F15}</b:Guid>
    <b:Title>Congreso de la República</b:Title>
    <b:Year>2012</b:Year>
    <b:City>Bogotá D.C.</b:City>
    <b:Month>julio</b:Month>
    <b:Day>12</b:Day>
    <b:Publisher>Diario Oficial No. 48.489 de 12 de julio de 2012</b:Publisher>
    <b:URL>http://www.secretariasenado.gov.co/senado/basedoc/ley_1564_2012.html</b:URL>
    <b:PublicationTitle>Por medio de la cual se expide el Código General del Proceso y se dictan otras disposiciones</b:PublicationTitle>
    <b:CountryRegion>Colombia</b:CountryRegion>
    <b:Author>
      <b:Author>
        <b:NameList>
          <b:Person>
            <b:Last>Ley 1564</b:Last>
          </b:Person>
        </b:NameList>
      </b:Author>
    </b:Author>
    <b:RefOrder>29</b:RefOrder>
  </b:Source>
  <b:Source>
    <b:Tag>Ley111</b:Tag>
    <b:SourceType>Misc</b:SourceType>
    <b:Guid>{18A867B4-AA25-4167-B6B1-0E3431EF967D}</b:Guid>
    <b:Title>Congreso de la República</b:Title>
    <b:PublicationTitle>Por la cual se expide el Código de Procedimiento Administrativo y de lo Contencioso Administrativo</b:PublicationTitle>
    <b:Year>2011</b:Year>
    <b:Month>enero</b:Month>
    <b:Day>18</b:Day>
    <b:City>Bogotá D.C.</b:City>
    <b:CountryRegion>Colombia</b:CountryRegion>
    <b:Publisher>Diario Oficial No. 47.956 de 18 de enero de 2011</b:Publisher>
    <b:Author>
      <b:Author>
        <b:NameList>
          <b:Person>
            <b:Last>Ley 1437</b:Last>
          </b:Person>
        </b:NameList>
      </b:Author>
    </b:Author>
    <b:RefOrder>28</b:RefOrder>
  </b:Source>
  <b:Source>
    <b:Tag>Mon10</b:Tag>
    <b:SourceType>Book</b:SourceType>
    <b:Guid>{F4ED6ABC-149D-4803-B39B-E4B442B69332}</b:Guid>
    <b:Title>Fundamentos de derecho administrativo</b:Title>
    <b:Year>2010</b:Year>
    <b:City>Bogotá D.C.</b:City>
    <b:CountryRegion>Colombia</b:CountryRegion>
    <b:Publisher>Universidad Externado de Colombia</b:Publisher>
    <b:Pages>287</b:Pages>
    <b:Author>
      <b:Author>
        <b:NameList>
          <b:Person>
            <b:Last>Montaña Plata</b:Last>
            <b:First>Alberto</b:First>
          </b:Person>
        </b:NameList>
      </b:Author>
    </b:Author>
    <b:RefOrder>30</b:RefOrder>
  </b:Source>
  <b:Source>
    <b:Tag>Ley97</b:Tag>
    <b:SourceType>Misc</b:SourceType>
    <b:Guid>{F6589290-6944-4CE4-B6AC-767D2738FAFB}</b:Guid>
    <b:Title>Congreso de la República</b:Title>
    <b:Year>1997</b:Year>
    <b:City>Bogotá D.C.</b:City>
    <b:Publisher>Diario Oficial No. 43.116, de 28 de agosto de 1997</b:Publisher>
    <b:CountryRegion>Colombia</b:CountryRegion>
    <b:URL>http://www.secretariasenado.gov.co/senado/basedoc/ley_0403_1997.html</b:URL>
    <b:PublicationTitle>Por la cual se establecen estímulos para los sufragantes</b:PublicationTitle>
    <b:Month>agosto</b:Month>
    <b:Day>27</b:Day>
    <b:Author>
      <b:Author>
        <b:NameList>
          <b:Person>
            <b:Last>Ley 403</b:Last>
          </b:Person>
        </b:NameList>
      </b:Author>
    </b:Author>
    <b:RefOrder>63</b:RefOrder>
  </b:Source>
  <b:Source>
    <b:Tag>Sen99</b:Tag>
    <b:SourceType>Misc</b:SourceType>
    <b:Guid>{9922592E-0844-4749-8399-76AB045C4E4D}</b:Guid>
    <b:Title>Corte Constitucional. Sala Primera de Revisión. Salvamento de Voto</b:Title>
    <b:PublicationTitle>M.P. Antonio Barrera Carbonell</b:PublicationTitle>
    <b:Year>1999</b:Year>
    <b:Month>septiembre</b:Month>
    <b:Day>27</b:Day>
    <b:City>Bogotá D.C.</b:City>
    <b:CountryRegion>Colombia</b:CountryRegion>
    <b:Author>
      <b:Author>
        <b:NameList>
          <b:Person>
            <b:Last>Sentencia T-713</b:Last>
          </b:Person>
        </b:NameList>
      </b:Author>
    </b:Author>
    <b:Publisher>Referencia: Expediente T-201586</b:Publisher>
    <b:URL>http://www.corteconstitucional.gov.co/relatoria/1999/T-713-99.htm</b:URL>
    <b:RefOrder>31</b:RefOrder>
  </b:Source>
  <b:Source>
    <b:Tag>Sen936</b:Tag>
    <b:SourceType>Misc</b:SourceType>
    <b:Guid>{4593B72A-D430-40AB-88CD-1B999B76EB60}</b:Guid>
    <b:Title>Corte Constitucional. Sala Séptima de Revisión</b:Title>
    <b:PublicationTitle>M.P.: Alejandro Martínez Caballero</b:PublicationTitle>
    <b:Year>1993</b:Year>
    <b:Month>octubre</b:Month>
    <b:Day>12</b:Day>
    <b:City>Bogotá D.C.</b:City>
    <b:CountryRegion>Colombia</b:CountryRegion>
    <b:Publisher>REF: expedientes acumulados T-11221*, T-11224, T-11343, T-11347, T-11357, T-11370 y T-11643.</b:Publisher>
    <b:URL>http://www.corteconstitucional.gov.co/relatoria/1993/T-445-93.htm</b:URL>
    <b:Author>
      <b:Author>
        <b:NameList>
          <b:Person>
            <b:Last>Sentencia T-445</b:Last>
          </b:Person>
        </b:NameList>
      </b:Author>
    </b:Author>
    <b:RefOrder>32</b:RefOrder>
  </b:Source>
  <b:Source>
    <b:Tag>Sen047</b:Tag>
    <b:SourceType>Misc</b:SourceType>
    <b:Guid>{0793C878-DDA4-4D12-96E7-839D73BDA2DB}</b:Guid>
    <b:Title>Corte Constitucional. Sala Plena</b:Title>
    <b:PublicationTitle>M.P.: Alfredo Mentrán Sierra</b:PublicationTitle>
    <b:Year>2004</b:Year>
    <b:Month>febrero</b:Month>
    <b:Day>17</b:Day>
    <b:City>Bogotá D.C.</b:City>
    <b:CountryRegion>Colombia</b:CountryRegion>
    <b:Publisher>Referencia: expediente D-4909</b:Publisher>
    <b:URL>http://www.corteconstitucional.gov.co/relatoria/2004/C-127-04.htm</b:URL>
    <b:Author>
      <b:Author>
        <b:NameList>
          <b:Person>
            <b:Last>Sentencia C-127</b:Last>
          </b:Person>
        </b:NameList>
      </b:Author>
    </b:Author>
    <b:RefOrder>40</b:RefOrder>
  </b:Source>
  <b:Source>
    <b:Tag>Sen055</b:Tag>
    <b:SourceType>Misc</b:SourceType>
    <b:Guid>{5BC27B0E-E9E7-4A7C-8C8D-C4B2D6EA22C0}</b:Guid>
    <b:Title>Corte Constitucional. Sala Séptima de Revisión</b:Title>
    <b:PublicationTitle>M.P.: Humberto Antonio Sierra Porto</b:PublicationTitle>
    <b:Year>2005</b:Year>
    <b:Month>junio</b:Month>
    <b:Day>30</b:Day>
    <b:City>Bogotá D.C.</b:City>
    <b:CountryRegion>Colombia</b:CountryRegion>
    <b:Publisher>Referencia: expediente T-1068908</b:Publisher>
    <b:URL>http://www.corteconstitucional.gov.co/relatoria/2005/T-679-05.htm</b:URL>
    <b:Author>
      <b:Author>
        <b:NameList>
          <b:Person>
            <b:Last>Sentencia T-679</b:Last>
          </b:Person>
        </b:NameList>
      </b:Author>
    </b:Author>
    <b:RefOrder>41</b:RefOrder>
  </b:Source>
  <b:Source>
    <b:Tag>Sen074</b:Tag>
    <b:SourceType>Misc</b:SourceType>
    <b:Guid>{F55FFE7B-CD70-4BE7-9EB0-E1427BF58D78}</b:Guid>
    <b:Title>Corte Constitucional. Sala Segunda de Revisión</b:Title>
    <b:PublicationTitle>M.P.: Manuel José Cepeda Espinosa</b:PublicationTitle>
    <b:Year>2007</b:Year>
    <b:Month>mayo</b:Month>
    <b:Day>22</b:Day>
    <b:City>Bogotá D.C.</b:City>
    <b:CountryRegion>Colombia</b:CountryRegion>
    <b:Publisher>Referencia: expediente T-1248380</b:Publisher>
    <b:URL>http://www.corteconstitucional.gov.co/relatoria/2007/T-391-07.htm</b:URL>
    <b:Author>
      <b:Author>
        <b:NameList>
          <b:Person>
            <b:Last>Sentencia T-391</b:Last>
          </b:Person>
        </b:NameList>
      </b:Author>
    </b:Author>
    <b:RefOrder>42</b:RefOrder>
  </b:Source>
  <b:Source>
    <b:Tag>Sen032</b:Tag>
    <b:SourceType>Misc</b:SourceType>
    <b:Guid>{929944A7-3CEB-4012-B60B-4BC9558F61FB}</b:Guid>
    <b:Title>Corte Constitucional. Sala Sexta de Revisión</b:Title>
    <b:PublicationTitle>M.P.: Marco Gerardo Monroy Cabra</b:PublicationTitle>
    <b:Year>2003</b:Year>
    <b:Month>noviembre</b:Month>
    <b:Day>13</b:Day>
    <b:City>Bogotá D.C.</b:City>
    <b:CountryRegion>Colombia</b:CountryRegion>
    <b:Publisher>Referencia: expediente T-777348</b:Publisher>
    <b:URL>http://www.corteconstitucional.gov.co/relatoria/2003/T-1075-03.htm</b:URL>
    <b:Author>
      <b:Author>
        <b:NameList>
          <b:Person>
            <b:Last>Sentencia T-1075</b:Last>
          </b:Person>
        </b:NameList>
      </b:Author>
    </b:Author>
    <b:RefOrder>33</b:RefOrder>
  </b:Source>
  <b:Source>
    <b:Tag>Sen065</b:Tag>
    <b:SourceType>Misc</b:SourceType>
    <b:Guid>{9FF7F950-2771-4202-97AD-862B90F576C1}</b:Guid>
    <b:Title>Corte Constitucional. Sala Primera de Revisión</b:Title>
    <b:PublicationTitle>M.P.: Jaime Araujo Rentería</b:PublicationTitle>
    <b:Year>2006</b:Year>
    <b:Month>noviembre</b:Month>
    <b:Day>30</b:Day>
    <b:City>Bogotá D.C.</b:City>
    <b:CountryRegion>Colombia</b:CountryRegion>
    <b:Publisher>Referencia: expediente T-1400761</b:Publisher>
    <b:URL>http://www.corteconstitucional.gov.co/relatoria/2006/T-998-06.htm</b:URL>
    <b:Author>
      <b:Author>
        <b:NameList>
          <b:Person>
            <b:Last>Sentencia T-998</b:Last>
          </b:Person>
        </b:NameList>
      </b:Author>
    </b:Author>
    <b:RefOrder>34</b:RefOrder>
  </b:Source>
  <b:Source>
    <b:Tag>Sen027</b:Tag>
    <b:SourceType>Misc</b:SourceType>
    <b:Guid>{202EEE71-5E4D-4732-9CC8-6AC1591E0897}</b:Guid>
    <b:Title>Corte Constitucional. Sala Plena</b:Title>
    <b:PublicationTitle>M.P.: Rodrigo Escobar Gil</b:PublicationTitle>
    <b:Year>2002</b:Year>
    <b:Month>octubre</b:Month>
    <b:Day>15</b:Day>
    <b:City>Bogotá D.C.</b:City>
    <b:CountryRegion>Colombia</b:CountryRegion>
    <b:Publisher>Referencia: expediente D-3997</b:Publisher>
    <b:URL>http://www.corteconstitucional.gov.co/relatoria/2002/C-874-02.htm</b:URL>
    <b:Author>
      <b:Author>
        <b:NameList>
          <b:Person>
            <b:Last>Sentencia C-874</b:Last>
          </b:Person>
        </b:NameList>
      </b:Author>
    </b:Author>
    <b:RefOrder>35</b:RefOrder>
  </b:Source>
  <b:Source>
    <b:Tag>Sen033</b:Tag>
    <b:SourceType>Misc</b:SourceType>
    <b:Guid>{52EF2D12-723C-4972-B2A6-94955C39075C}</b:Guid>
    <b:Title>Corte Constitucional. Sala Plena</b:Title>
    <b:PublicationTitle>M.P.: Jaime Córdoba Triviño</b:PublicationTitle>
    <b:Year>2003</b:Year>
    <b:Month>noviembre</b:Month>
    <b:Day>25</b:Day>
    <b:City>Bogotá D.C.</b:City>
    <b:CountryRegion>Colombia</b:CountryRegion>
    <b:Publisher>Referencia: expediente D-4585</b:Publisher>
    <b:URL>http://www.corteconstitucional.gov.co/relatoria/2003/C-1114-03.htm</b:URL>
    <b:Author>
      <b:Author>
        <b:NameList>
          <b:Person>
            <b:Last>Sentencia C-1114</b:Last>
          </b:Person>
        </b:NameList>
      </b:Author>
    </b:Author>
    <b:RefOrder>36</b:RefOrder>
  </b:Source>
  <b:Source>
    <b:Tag>Sen124</b:Tag>
    <b:SourceType>Misc</b:SourceType>
    <b:Guid>{341D2F69-849A-472B-AB7D-8D2E79F1C980}</b:Guid>
    <b:Title>Corte Constitucional. Sala Séptima de Revisión</b:Title>
    <b:PublicationTitle>M.P.: Jorge Ignacio Pretelt Chaljub</b:PublicationTitle>
    <b:Year>2012</b:Year>
    <b:Month>marzo</b:Month>
    <b:Day>2</b:Day>
    <b:City>Bogotá D.C.</b:City>
    <b:CountryRegion>Colombia</b:CountryRegion>
    <b:Publisher>Referencia: expediente T- 3.265.201</b:Publisher>
    <b:URL>http://www.corteconstitucional.gov.co/relatoria/2012/T-146-12.htm</b:URL>
    <b:Author>
      <b:Author>
        <b:NameList>
          <b:Person>
            <b:Last>Sentencia T-146</b:Last>
          </b:Person>
        </b:NameList>
      </b:Author>
    </b:Author>
    <b:RefOrder>43</b:RefOrder>
  </b:Source>
  <b:Source>
    <b:Tag>Sen048</b:Tag>
    <b:SourceType>Misc</b:SourceType>
    <b:Guid>{1205354E-7AE5-44A0-8077-6CF91192AF77}</b:Guid>
    <b:Title>Corte Constitucional. Sala Séptima de Revisión</b:Title>
    <b:PublicationTitle>M.P.: Eduardo Montealegre Lynett</b:PublicationTitle>
    <b:Year>2004</b:Year>
    <b:Month>febrero</b:Month>
    <b:Day>12</b:Day>
    <b:City>Bogotá D.C.</b:City>
    <b:CountryRegion>Colombia</b:CountryRegion>
    <b:Publisher>Referencia: expediente T-789355</b:Publisher>
    <b:URL>http://www.corteconstitucional.gov.co/relatoria/2004/T-116-04.htm</b:URL>
    <b:Author>
      <b:Author>
        <b:NameList>
          <b:Person>
            <b:Last>Sentencia T-116</b:Last>
          </b:Person>
        </b:NameList>
      </b:Author>
    </b:Author>
    <b:RefOrder>44</b:RefOrder>
  </b:Source>
  <b:Source>
    <b:Tag>Sen151</b:Tag>
    <b:SourceType>Misc</b:SourceType>
    <b:Guid>{F33161CA-9419-4697-9F82-81C7DAA540A6}</b:Guid>
    <b:Title>Corte Constitucional. Sala Plena</b:Title>
    <b:PublicationTitle>M.P.: Mauricio González Cuervo</b:PublicationTitle>
    <b:Year>2015</b:Year>
    <b:Month>abril</b:Month>
    <b:Day>8</b:Day>
    <b:City>Bogotá D.C.</b:City>
    <b:CountryRegion>Colombia</b:CountryRegion>
    <b:Publisher>Referencia: Expediente PE-038</b:Publisher>
    <b:URL>http://www.corteconstitucional.gov.co/relatoria/2015/C-150-15.htm</b:URL>
    <b:Author>
      <b:Author>
        <b:NameList>
          <b:Person>
            <b:Last>Sentencia C-150</b:Last>
          </b:Person>
        </b:NameList>
      </b:Author>
    </b:Author>
    <b:RefOrder>45</b:RefOrder>
  </b:Source>
  <b:Source>
    <b:Tag>Aut01</b:Tag>
    <b:SourceType>Misc</b:SourceType>
    <b:Guid>{7D873FCD-8345-4626-A0A1-16BB247E43E4}</b:Guid>
    <b:Title>Corte Constitucional. Sala Plena</b:Title>
    <b:PublicationTitle>M.P.: Jaime Córdoba Triviño</b:PublicationTitle>
    <b:Year>2001</b:Year>
    <b:Month>julio</b:Month>
    <b:Day>11</b:Day>
    <b:City>Bogotá D.C.</b:City>
    <b:CountryRegion>Colombia</b:CountryRegion>
    <b:Publisher>Expediente D-3168. Referencia: Petición de adición y aclaración de la Sentencia C-501 de 2001</b:Publisher>
    <b:URL>http://www.corteconstitucional.gov.co/relatoria/Autos/2001/A243-01.htm</b:URL>
    <b:Author>
      <b:Author>
        <b:NameList>
          <b:Person>
            <b:Last>Auto 243</b:Last>
          </b:Person>
        </b:NameList>
      </b:Author>
    </b:Author>
    <b:RefOrder>37</b:RefOrder>
  </b:Source>
  <b:Source>
    <b:Tag>Ley99</b:Tag>
    <b:SourceType>Misc</b:SourceType>
    <b:Guid>{DDE36EB1-92BC-471D-A7CC-573B22BCD57F}</b:Guid>
    <b:Title>Congreso de la República</b:Title>
    <b:PublicationTitle>Por la cual se crean los jueces de paz y se reglamenta su organización y funcionamiento</b:PublicationTitle>
    <b:Year>1999</b:Year>
    <b:Month>febrero</b:Month>
    <b:Day>10</b:Day>
    <b:City>Bogotá D.C.</b:City>
    <b:CountryRegion>Colombia</b:CountryRegion>
    <b:Publisher>Diario Oficial No. 43.499, de 11 de febrero de 1999</b:Publisher>
    <b:Author>
      <b:Author>
        <b:NameList>
          <b:Person>
            <b:Last>Ley 497</b:Last>
          </b:Person>
        </b:NameList>
      </b:Author>
    </b:Author>
    <b:URL>http://www.secretariasenado.gov.co/senado/basedoc/ley_0497_1999.html</b:URL>
    <b:RefOrder>46</b:RefOrder>
  </b:Source>
  <b:Source>
    <b:Tag>Ase12</b:Tag>
    <b:SourceType>Misc</b:SourceType>
    <b:Guid>{1CFD9040-6CB5-4B50-B0C6-0BED8E50119F}</b:Guid>
    <b:Title>Alcaldía de Santiago de Cali</b:Title>
    <b:PublicationTitle>Resultados Electorales elección Jueces de Paz 2012-2017</b:PublicationTitle>
    <b:Year>2012</b:Year>
    <b:Month>septiembre</b:Month>
    <b:Day>10</b:Day>
    <b:City>Santiago de Cali</b:City>
    <b:CountryRegion>Colombia</b:CountryRegion>
    <b:URL>http://www.cali.gov.co/publicaciones/resultados_electorales_eleccin_jueces_de_paz_20122017_pub</b:URL>
    <b:Author>
      <b:Author>
        <b:NameList>
          <b:Person>
            <b:Last>Asesoría de Paz</b:Last>
          </b:Person>
        </b:NameList>
      </b:Author>
    </b:Author>
    <b:RefOrder>47</b:RefOrder>
  </b:Source>
  <b:Source>
    <b:Tag>ElT15</b:Tag>
    <b:SourceType>Misc</b:SourceType>
    <b:Guid>{344366AB-C3DE-402B-A2C5-4C512C9FDE9D}</b:Guid>
    <b:Title>Pocos votaron por jueces de paz. La cifra de participación no llegaba ni siquiera al 1 por ciento del potencial</b:Title>
    <b:PublicationTitle>Temas del día</b:PublicationTitle>
    <b:Year>2015</b:Year>
    <b:Month>marzo</b:Month>
    <b:Day>1</b:Day>
    <b:City>Bogotá D.C.</b:City>
    <b:CountryRegion>Colombia</b:CountryRegion>
    <b:URL>http://www.eltiempo.com/bogota/elecciones-jueces-de-paz/15322072</b:URL>
    <b:Author>
      <b:Author>
        <b:NameList>
          <b:Person>
            <b:Last>ElTiempo</b:Last>
          </b:Person>
        </b:NameList>
      </b:Author>
    </b:Author>
    <b:RefOrder>48</b:RefOrder>
  </b:Source>
  <b:Source>
    <b:Tag>Yañ131</b:Tag>
    <b:SourceType>Book</b:SourceType>
    <b:Guid>{6FEF408B-671D-4705-AED1-8BA99B6F3FB3}</b:Guid>
    <b:Title>El derecho de la jurisdicción. Concepciones discutibles y estudio sobre la institución en la vértebra axiológica del juzgar</b:Title>
    <b:Year>2013</b:Year>
    <b:City>San José de Cúcuta</b:City>
    <b:CountryRegion>Colombia</b:CountryRegion>
    <b:Publisher>Universidad Libre Seccional Cúcuta</b:Publisher>
    <b:Pages>179</b:Pages>
    <b:Edition>Primera</b:Edition>
    <b:Author>
      <b:Author>
        <b:NameList>
          <b:Person>
            <b:Last>Yañez Meza</b:Last>
            <b:Middle>Armando</b:Middle>
            <b:First>Diego</b:First>
          </b:Person>
        </b:NameList>
      </b:Author>
    </b:Author>
    <b:RefOrder>49</b:RefOrder>
  </b:Source>
  <b:Source>
    <b:Tag>Sen012</b:Tag>
    <b:SourceType>Misc</b:SourceType>
    <b:Guid>{FA4D6A40-8FFB-4BBC-AACA-9DE158C6036A}</b:Guid>
    <b:Title>Corte Constitucional. Sala Plena</b:Title>
    <b:Year>2001</b:Year>
    <b:City>Bogotá D.C.</b:City>
    <b:Publisher>Referencia: expediente D-3401</b:Publisher>
    <b:CountryRegion>Colombia</b:CountryRegion>
    <b:URL>http://www.corteconstitucional.gov.co/relatoria/2001/C-866-01.htm</b:URL>
    <b:Author>
      <b:Author>
        <b:NameList>
          <b:Person>
            <b:Last>Sentencia C-866</b:Last>
          </b:Person>
        </b:NameList>
      </b:Author>
    </b:Author>
    <b:PublicationTitle>M.P.: Jaime Córdoba Triviño</b:PublicationTitle>
    <b:Month>agosto</b:Month>
    <b:Day>15</b:Day>
    <b:RefOrder>50</b:RefOrder>
  </b:Source>
  <b:Source>
    <b:Tag>Sen125</b:Tag>
    <b:SourceType>Misc</b:SourceType>
    <b:Guid>{4D0CE2B1-7D67-449B-B7F6-DC52AA086485}</b:Guid>
    <b:Title>Corte Constitucional. Sala Novena de Revisión</b:Title>
    <b:PublicationTitle>M.P.: Luis Ernesto Vargas Silva</b:PublicationTitle>
    <b:Year>2012</b:Year>
    <b:Month>julio</b:Month>
    <b:Day>16</b:Day>
    <b:City>Bogotá D.C.</b:City>
    <b:CountryRegion>Colombia</b:CountryRegion>
    <b:Publisher>Referencia: expediente T- 3.346.914</b:Publisher>
    <b:URL>http://www.corteconstitucional.gov.co/relatoria/2012/T-552-12.htm</b:URL>
    <b:Author>
      <b:Author>
        <b:NameList>
          <b:Person>
            <b:Last>Sentencia T-552</b:Last>
          </b:Person>
        </b:NameList>
      </b:Author>
    </b:Author>
    <b:RefOrder>51</b:RefOrder>
  </b:Source>
  <b:Source>
    <b:Tag>Sen034</b:Tag>
    <b:SourceType>Misc</b:SourceType>
    <b:Guid>{F6F0EC61-4F69-493F-9C72-06B764E41770}</b:Guid>
    <b:Title>Corte Constitucional. Sala Plena</b:Title>
    <b:PublicationTitle>M.P.: Rodrigo Escobar Gil</b:PublicationTitle>
    <b:Year>2003</b:Year>
    <b:Month>enero</b:Month>
    <b:Day>23</b:Day>
    <b:City>Bogotá D.C.</b:City>
    <b:CountryRegion>Colombia</b:CountryRegion>
    <b:Publisher>Referencia: expediente RE-125</b:Publisher>
    <b:URL>http://www.corteconstitucional.gov.co/relatoria/2003/C-008-03.htm</b:URL>
    <b:Author>
      <b:Author>
        <b:NameList>
          <b:Person>
            <b:Last>Sentencia C-008</b:Last>
          </b:Person>
        </b:NameList>
      </b:Author>
    </b:Author>
    <b:RefOrder>52</b:RefOrder>
  </b:Source>
  <b:Source>
    <b:Tag>Sen142</b:Tag>
    <b:SourceType>Misc</b:SourceType>
    <b:Guid>{808ED2AF-793B-4F4D-84B0-D5D9C10351B9}</b:Guid>
    <b:Title>Corte Constitucional. Sala Novena de Revisión</b:Title>
    <b:PublicationTitle>M.P.: Luis Ernesto Vargas Silva</b:PublicationTitle>
    <b:Year>2014</b:Year>
    <b:Month>agosto</b:Month>
    <b:Day>4</b:Day>
    <b:City>Bogotá D.C.</b:City>
    <b:CountryRegion>Colombia</b:CountryRegion>
    <b:Publisher>Referencia: expediente T–3482903</b:Publisher>
    <b:URL>http://www.corteconstitucional.gov.co/relatoria/2014/t-576-14.htm</b:URL>
    <b:Author>
      <b:Author>
        <b:NameList>
          <b:Person>
            <b:Last>Sentencia T-576</b:Last>
          </b:Person>
        </b:NameList>
      </b:Author>
    </b:Author>
    <b:RefOrder>38</b:RefOrder>
  </b:Source>
  <b:Source>
    <b:Tag>Sen115</b:Tag>
    <b:SourceType>Misc</b:SourceType>
    <b:Guid>{89232B53-10DD-46FF-AC91-1D73C4040B78}</b:Guid>
    <b:Title>Corte Constitucional. Sala Quinta de Revisión</b:Title>
    <b:PublicationTitle>M.P.: Jorge Iván Palacio Palacio</b:PublicationTitle>
    <b:Year>2011</b:Year>
    <b:Month>marzo</b:Month>
    <b:Day>3</b:Day>
    <b:City>Bogotá D.C.</b:City>
    <b:CountryRegion>Colombia</b:CountryRegion>
    <b:Publisher>Referencia: expediente T-2451120</b:Publisher>
    <b:URL>http://www.corteconstitucional.gov.co/relatoria/2011/t-129-11.htm</b:URL>
    <b:Author>
      <b:Author>
        <b:NameList>
          <b:Person>
            <b:Last>Sentencia T-129</b:Last>
          </b:Person>
        </b:NameList>
      </b:Author>
    </b:Author>
    <b:RefOrder>39</b:RefOrder>
  </b:Source>
  <b:Source>
    <b:Tag>Sen013</b:Tag>
    <b:SourceType>Misc</b:SourceType>
    <b:Guid>{F74DE715-53EA-40D5-B550-43C55C6B86C7}</b:Guid>
    <b:Title>Corte Constitucional. Sala Plena. Salvamento de Voto</b:Title>
    <b:PublicationTitle>M.P. Eduardo Montealegre lynett</b:PublicationTitle>
    <b:Year>2001</b:Year>
    <b:Month>febrero</b:Month>
    <b:Day>21</b:Day>
    <b:City>Bogotá D.C.</b:City>
    <b:CountryRegion>Colombia</b:CountryRegion>
    <b:Publisher>Referencia: O.P. 042</b:Publisher>
    <b:URL>http://www.corteconstitucional.gov.co/relatoria/2001/C-196-01.htm</b:URL>
    <b:Author>
      <b:Author>
        <b:NameList>
          <b:Person>
            <b:Last>Sentencia C-196</b:Last>
          </b:Person>
        </b:NameList>
      </b:Author>
    </b:Author>
    <b:RefOrder>53</b:RefOrder>
  </b:Source>
  <b:Source>
    <b:Tag>Tor91</b:Tag>
    <b:SourceType>Misc</b:SourceType>
    <b:Guid>{5EB3D2D4-98E0-4918-9264-D039AEBFB31F}</b:Guid>
    <b:Title>Elección popular de jueces</b:Title>
    <b:PublicationTitle>Tres ambiciosas propuestas se abrieron paso anoche al término de las sesiones de la Comisión de Justicia de la Asamblea Nacional Constituyente: la designación de jueces municipales por elección popular, la creación de jueces indígenas...</b:PublicationTitle>
    <b:Year>1991</b:Year>
    <b:Month>mayo</b:Month>
    <b:Day>16</b:Day>
    <b:City>Bogotá D.C.</b:City>
    <b:CountryRegion>Colombia</b:CountryRegion>
    <b:URL>http://www.eltiempo.com/archivo/documento/MAM-82952</b:URL>
    <b:Author>
      <b:Author>
        <b:NameList>
          <b:Person>
            <b:Last>Torres</b:Last>
            <b:First>Edgar</b:First>
          </b:Person>
        </b:NameList>
      </b:Author>
    </b:Author>
    <b:Publisher>ElTiempo.com</b:Publisher>
    <b:RefOrder>54</b:RefOrder>
  </b:Source>
  <b:Source>
    <b:Tag>Nul91</b:Tag>
    <b:SourceType>Misc</b:SourceType>
    <b:Guid>{407388E2-4FAE-41A5-A170-EA7EC6429CC2}</b:Guid>
    <b:Title>Álvaro Gómez plantea la elección popular de jueces</b:Title>
    <b:Year>1991</b:Year>
    <b:Month>marzo</b:Month>
    <b:Day>8</b:Day>
    <b:City>Bogotá D.C.</b:City>
    <b:CountryRegion>Colombia</b:CountryRegion>
    <b:Publisher>ElTiempo</b:Publisher>
    <b:URL>http://www.eltiempo.com/archivo/documento/MAM-37763</b:URL>
    <b:Author>
      <b:Author>
        <b:NameList>
          <b:Person>
            <b:Last>Nullvalue</b:Last>
          </b:Person>
        </b:NameList>
      </b:Author>
    </b:Author>
    <b:RefOrder>55</b:RefOrder>
  </b:Source>
  <b:Source>
    <b:Tag>Mes14</b:Tag>
    <b:SourceType>Misc</b:SourceType>
    <b:Guid>{BDD3A277-92FA-49BE-A572-2A1013B4FA57}</b:Guid>
    <b:Title>RAMON A. MESTRE: Contra la elección popular de los jueces</b:Title>
    <b:Year>2014</b:Year>
    <b:Month>Septiembre</b:Month>
    <b:Day>1</b:Day>
    <b:Publisher>elNuevoHerald</b:Publisher>
    <b:URL>http://www.elnuevoherald.com/opinion-es/article2039950.html</b:URL>
    <b:Author>
      <b:Author>
        <b:NameList>
          <b:Person>
            <b:Last>Mestre</b:Last>
            <b:Middle>A</b:Middle>
            <b:First>Ramón</b:First>
          </b:Person>
        </b:NameList>
      </b:Author>
    </b:Author>
    <b:RefOrder>64</b:RefOrder>
  </b:Source>
  <b:Source>
    <b:Tag>ámb</b:Tag>
    <b:SourceType>Misc</b:SourceType>
    <b:Guid>{56508F4A-EBDF-4D3E-BB2A-12C965F4FCFE}</b:Guid>
    <b:Title>Elección popular de magistrados es inconstitucional: Corte Suprema de Argentina</b:Title>
    <b:URL>http://www.ambitojuridico.com/BancoConocimiento/N/noti-130619-08_eleccion_popular_de_magistrados_es_inconstitucional_corte_sup/noti-130619-08_eleccion_popular_de_magistrados_es_inconstitucional_corte_sup.asp?print=1</b:URL>
    <b:Author>
      <b:Author>
        <b:NameList>
          <b:Person>
            <b:Last>ámbitojurídico.com</b:Last>
          </b:Person>
        </b:NameList>
      </b:Author>
    </b:Author>
    <b:RefOrder>56</b:RefOrder>
  </b:Source>
  <b:Source>
    <b:Tag>LaN13</b:Tag>
    <b:SourceType>Misc</b:SourceType>
    <b:Guid>{CD68BFEC-43ED-4FC8-8EFF-EE9340F97AA0}</b:Guid>
    <b:Title>Zaffaroni: La elección popular de jueces daría lugar a una demagogia y a una corrupción terrible</b:Title>
    <b:PublicationTitle>Política</b:PublicationTitle>
    <b:Year>2013</b:Year>
    <b:Month>enero</b:Month>
    <b:Day>14</b:Day>
    <b:CountryRegion>Argentina</b:CountryRegion>
    <b:Publisher>LaNación</b:Publisher>
    <b:URL>http://www.lanacion.com.ar/1545586-zaffaroni-la-propuesta-de-eleccion-popular-de-jueces-mas-que-una-idea-es-una-reaccion-visceral</b:URL>
    <b:Author>
      <b:Author>
        <b:NameList>
          <b:Person>
            <b:Last>LaNación</b:Last>
          </b:Person>
        </b:NameList>
      </b:Author>
    </b:Author>
    <b:RefOrder>57</b:RefOrder>
  </b:Source>
  <b:Source>
    <b:Tag>Ala14</b:Tag>
    <b:SourceType>Misc</b:SourceType>
    <b:Guid>{0FD36419-0E49-40B5-8C29-3A639A0BC0AC}</b:Guid>
    <b:Title>Consideraciones sobre la elección de jueces por voto popular</b:Title>
    <b:Year>2014</b:Year>
    <b:Month>febrero</b:Month>
    <b:Day>28</b:Day>
    <b:City>La Paz</b:City>
    <b:CountryRegion>Bolivia</b:CountryRegion>
    <b:Publisher>laRazón. La gaceta jurídica</b:Publisher>
    <b:URL>http://www.la-razon.com/index.php?_url=/suplementos/la_gaceta_juridica/Consideraciones-eleccion-jueces-voto-popular_0_2006199443.html</b:URL>
    <b:Author>
      <b:Author>
        <b:NameList>
          <b:Person>
            <b:Last>Alarcón Gambarte</b:Last>
            <b:Middle>Micaela</b:Middle>
            <b:First>María</b:First>
          </b:Person>
        </b:NameList>
      </b:Author>
    </b:Author>
    <b:RefOrder>58</b:RefOrder>
  </b:Source>
  <b:Source>
    <b:Tag>Per13</b:Tag>
    <b:SourceType>Misc</b:SourceType>
    <b:Guid>{CE98B7F2-1A38-4D84-8FD6-668F431F77A9}</b:Guid>
    <b:Title>Sistemas judiciales con elección de los jueces por voto popular</b:Title>
    <b:PublicationTitle>Diario Copia Oculta</b:PublicationTitle>
    <b:Year>2013</b:Year>
    <b:Month>abril</b:Month>
    <b:Day>9</b:Day>
    <b:URL>http://www.copia-oculta.org/2013/04/sistemas-judiciales-con-eleccion-de-los.html</b:URL>
    <b:Author>
      <b:Author>
        <b:NameList>
          <b:Person>
            <b:Last>Peralta</b:Last>
            <b:Middle>D</b:Middle>
            <b:First>Ramón </b:First>
          </b:Person>
        </b:NameList>
      </b:Author>
    </b:Author>
    <b:RefOrder>59</b:RefOrder>
  </b:Source>
  <b:Source>
    <b:Tag>Cab11</b:Tag>
    <b:SourceType>Interview</b:SourceType>
    <b:Guid>{D39DB0FE-1096-4941-AC43-BAC605C1C118}</b:Guid>
    <b:Title>Jesús Eduardo Cabrera Romero</b:Title>
    <b:Year>2011</b:Year>
    <b:Month>marzo</b:Month>
    <b:Day>14</b:Day>
    <b:City>San Cristobal</b:City>
    <b:StateProvince>Estado Táchira</b:StateProvince>
    <b:CountryRegion>Venezuela</b:CountryRegion>
    <b:URL>https://www.youtube.com/watch?v=6r-aaA2nbTU</b:URL>
    <b:Author>
      <b:Interviewee>
        <b:NameList>
          <b:Person>
            <b:Last>Cabrera Romero</b:Last>
            <b:Middle>Eduardo</b:Middle>
            <b:First>Jesús</b:First>
          </b:Person>
        </b:NameList>
      </b:Interviewee>
      <b:Interviewer>
        <b:NameList>
          <b:Person>
            <b:Last>Colmenares Uribe</b:Last>
            <b:Middle>Alberto</b:Middle>
            <b:First>Carlos</b:First>
          </b:Person>
        </b:NameList>
      </b:Interviewer>
    </b:Author>
    <b:BroadcastTitle>El Maestro JESUS EDUARDO CABRERA ROMERO, en el Colegio de Abogados del Estado Táchira Venezuela. Derecho probatorio</b:BroadcastTitle>
    <b:Broadcaster>YouTube</b:Broadcaster>
    <b:RefOrder>60</b:RefOrder>
  </b:Source>
  <b:Source>
    <b:Tag>Har68</b:Tag>
    <b:SourceType>JournalArticle</b:SourceType>
    <b:Guid>{5C09EE4D-4E09-4065-B811-0C9CC9D7DC1A}</b:Guid>
    <b:Author>
      <b:Author>
        <b:NameList>
          <b:Person>
            <b:Last>Hardin</b:Last>
            <b:First>Garret</b:First>
          </b:Person>
        </b:NameList>
      </b:Author>
    </b:Author>
    <b:Title>“The Tragedy of Commons"</b:Title>
    <b:Year>1968</b:Year>
    <b:JournalName>Science</b:JournalName>
    <b:Pages>1243-1248</b:Pages>
    <b:RefOrder>14</b:RefOrder>
  </b:Source>
  <b:Source>
    <b:Tag>C6311</b:Tag>
    <b:SourceType>Case</b:SourceType>
    <b:Guid>{1D24BC6A-7D6D-46D5-9998-2F15922D3669}</b:Guid>
    <b:Title>C-632</b:Title>
    <b:Year>2011</b:Year>
    <b:CaseNumber>D-8379</b:CaseNumber>
    <b:Court>Corte Constitucional</b:Court>
    <b:Month>agosto</b:Month>
    <b:Day>24</b:Day>
    <b:Reporter>Gabriel Eduardo Mendoza Martelo</b:Reporter>
    <b:RefOrder>16</b:RefOrder>
  </b:Source>
  <b:Source>
    <b:Tag>T4192</b:Tag>
    <b:SourceType>Case</b:SourceType>
    <b:Guid>{7A1D2F29-B66F-45B6-B5B9-788515622F14}</b:Guid>
    <b:Title>T-411</b:Title>
    <b:CaseNumber>T-785</b:CaseNumber>
    <b:Court>Corte Constitucional</b:Court>
    <b:Year>1992</b:Year>
    <b:Month>junio</b:Month>
    <b:Day>17</b:Day>
    <b:Reporter>Alejandro Martínez Caballero </b:Reporter>
    <b:RefOrder>15</b:RefOrder>
  </b:Source>
  <b:Source>
    <b:Tag>Pri10</b:Tag>
    <b:SourceType>Report</b:SourceType>
    <b:Guid>{9F15E8C3-187B-4FE8-A161-DB516721D78C}</b:Guid>
    <b:Title>Boletín Nº 151</b:Title>
    <b:Year>2010</b:Year>
    <b:City>Bogotá</b:City>
    <b:Publisher>Insituto de ciencia Política Hernán Echavarría Oelozaga</b:Publisher>
    <b:Author>
      <b:Author>
        <b:NameList>
          <b:Person>
            <b:Last>Prieto Botero</b:Last>
            <b:First>Marcela</b:First>
          </b:Person>
        </b:NameList>
      </b:Author>
    </b:Author>
    <b:RefOrder>19</b:RefOrder>
  </b:Source>
  <b:Source>
    <b:Tag>Gen98</b:Tag>
    <b:SourceType>Book</b:SourceType>
    <b:Guid>{1B5321F9-2B26-49FD-8056-D2004004AD65}</b:Guid>
    <b:Title>Tratado de Derecho Civil. Las condiciones de la responsabilidad.</b:Title>
    <b:Year>1998</b:Year>
    <b:City>Paris</b:City>
    <b:Publisher>LGDJ</b:Publisher>
    <b:Author>
      <b:Author>
        <b:NameList>
          <b:Person>
            <b:Last>Geneviève</b:Last>
            <b:First>Viney</b:First>
          </b:Person>
          <b:Person>
            <b:Last>Jourdain</b:Last>
            <b:First>Patrice</b:First>
          </b:Person>
        </b:NameList>
      </b:Author>
    </b:Author>
    <b:RefOrder>2</b:RefOrder>
  </b:Source>
  <b:Source>
    <b:Tag>eja14</b:Tag>
    <b:SourceType>InternetSite</b:SourceType>
    <b:Guid>{4EBACCB9-B7CC-4CBC-93A9-A08100011657}</b:Guid>
    <b:Title>ejatlas.org</b:Title>
    <b:Year>2014</b:Year>
    <b:InternetSiteTitle>http://ejatlas.org/</b:InternetSiteTitle>
    <b:Month>marzo</b:Month>
    <b:Day>29</b:Day>
    <b:URL>http://ejatlas.org/country/colombia</b:URL>
    <b:RefOrder>20</b:RefOrder>
  </b:Source>
  <b:Source>
    <b:Tag>Rud05</b:Tag>
    <b:SourceType>Book</b:SourceType>
    <b:Guid>{069EF69A-8961-48B0-8BFE-8B57FB62777A}</b:Guid>
    <b:Title>El daño ecológico puro. La responsabilidad civil por el deterioro del medio ambiente.</b:Title>
    <b:Year>2005</b:Year>
    <b:City>Girona</b:City>
    <b:Publisher>Universitat de Girona</b:Publisher>
    <b:Author>
      <b:Author>
        <b:NameList>
          <b:Person>
            <b:Last>Ruda Gonzalez</b:Last>
            <b:First>Albert</b:First>
          </b:Person>
        </b:NameList>
      </b:Author>
    </b:Author>
    <b:RefOrder>4</b:RefOrder>
  </b:Source>
  <b:Source>
    <b:Tag>Hen10</b:Tag>
    <b:SourceType>BookSection</b:SourceType>
    <b:Guid>{A2C25BC7-85C2-494E-A39F-65F1429C02F9}</b:Guid>
    <b:Title>El derecho al ambiente sano desde la perspectiva constitucional colombiana.</b:Title>
    <b:Year>2010</b:Year>
    <b:City>Montevideo</b:City>
    <b:Publisher>Konrad Adenauer</b:Publisher>
    <b:Author>
      <b:Author>
        <b:NameList>
          <b:Person>
            <b:Last>Henao Perez</b:Last>
            <b:First>Juan Carlos</b:First>
          </b:Person>
        </b:NameList>
      </b:Author>
      <b:BookAuthor>
        <b:NameList>
          <b:Person>
            <b:Last>Adenauer</b:Last>
            <b:First>Fundación</b:First>
            <b:Middle>Konrad</b:Middle>
          </b:Person>
        </b:NameList>
      </b:BookAuthor>
    </b:Author>
    <b:BookTitle>Anuario de derecho constitucional N°16</b:BookTitle>
    <b:Pages>573-601</b:Pages>
    <b:RefOrder>5</b:RefOrder>
  </b:Source>
  <b:Source>
    <b:Tag>Gen10</b:Tag>
    <b:SourceType>Book</b:SourceType>
    <b:Guid>{3C923236-89E4-4146-9A90-2A90DBB5DB67}</b:Guid>
    <b:Title>Tratado de Derecho Civil. Introducción a la Responsabilidad</b:Title>
    <b:Year>2010</b:Year>
    <b:City>Bogotá</b:City>
    <b:Publisher>Universidad Externado de Colombia</b:Publisher>
    <b:Author>
      <b:Author>
        <b:NameList>
          <b:Person>
            <b:Last>Geneviève</b:Last>
            <b:First>Viney</b:First>
          </b:Person>
        </b:NameList>
      </b:Author>
      <b:Translator>
        <b:NameList>
          <b:Person>
            <b:Last>Mateus</b:Last>
            <b:First>Fernando</b:First>
            <b:Middle>Montoya</b:Middle>
          </b:Person>
        </b:NameList>
      </b:Translator>
    </b:Author>
    <b:RefOrder>8</b:RefOrder>
  </b:Source>
  <b:Source>
    <b:Tag>Fab13</b:Tag>
    <b:SourceType>BookSection</b:SourceType>
    <b:Guid>{FCAD20B0-8E1A-485A-B3B1-75F815993194}</b:Guid>
    <b:Title>Estudio introductorio. Estado del arte de la responsabilidad extracontractual. </b:Title>
    <b:Year>2013</b:Year>
    <b:City>Bogotá</b:City>
    <b:Publisher>Universidad Externado de Colombia</b:Publisher>
    <b:Author>
      <b:Author>
        <b:NameList>
          <b:Person>
            <b:Last>Fabra Zamora</b:Last>
            <b:First>Jorge.</b:First>
          </b:Person>
        </b:NameList>
      </b:Author>
      <b:BookAuthor>
        <b:NameList>
          <b:Person>
            <b:Last>Bernal Pulido</b:Last>
            <b:First>Carlos</b:First>
          </b:Person>
          <b:Person>
            <b:Last>Fabra Zamora</b:Last>
            <b:First>Jorge.</b:First>
          </b:Person>
        </b:NameList>
      </b:BookAuthor>
    </b:Author>
    <b:BookTitle>Filosofía de la Responsabilidad Civil </b:BookTitle>
    <b:Pages>23-117</b:Pages>
    <b:RefOrder>10</b:RefOrder>
  </b:Source>
  <b:Source>
    <b:Tag>Sha87</b:Tag>
    <b:SourceType>Book</b:SourceType>
    <b:Guid>{89D0CB9E-33FD-4718-A63B-24815E8DC45F}</b:Guid>
    <b:Title>Economic Analysis of Accident Law</b:Title>
    <b:Year>1987</b:Year>
    <b:City>Cambrige</b:City>
    <b:Publisher>Harvar University Press</b:Publisher>
    <b:Author>
      <b:Author>
        <b:NameList>
          <b:Person>
            <b:Last>Shavell</b:Last>
            <b:First>Steven</b:First>
          </b:Person>
        </b:NameList>
      </b:Author>
    </b:Author>
    <b:RefOrder>11</b:RefOrder>
  </b:Source>
  <b:Source>
    <b:Tag>Wei13</b:Tag>
    <b:SourceType>BookSection</b:SourceType>
    <b:Guid>{603726F0-5523-426D-81E3-EC7AB3B2671A}</b:Guid>
    <b:Title>Responsabilidad extracontractual como justicia correctiva</b:Title>
    <b:Year>2013</b:Year>
    <b:City>Bogotá</b:City>
    <b:Publisher>Universidad Externado de Colombia</b:Publisher>
    <b:BookTitle>La filosofía de la responsabilidad civil</b:BookTitle>
    <b:Pages>327-334</b:Pages>
    <b:Author>
      <b:Author>
        <b:NameList>
          <b:Person>
            <b:Last>Weinrib</b:Last>
            <b:First>Ernest J.</b:First>
          </b:Person>
        </b:NameList>
      </b:Author>
      <b:BookAuthor>
        <b:NameList>
          <b:Person>
            <b:Last>Bernal Pulido</b:Last>
            <b:First>Carlos</b:First>
          </b:Person>
          <b:Person>
            <b:Last>Fabra Zamora</b:Last>
            <b:First>Jorge.</b:First>
          </b:Person>
        </b:NameList>
      </b:BookAuthor>
    </b:Author>
    <b:RefOrder>12</b:RefOrder>
  </b:Source>
  <b:Source>
    <b:Tag>Hen07</b:Tag>
    <b:SourceType>Book</b:SourceType>
    <b:Guid>{3068FFBB-5E10-4B0D-A112-9C97AB32B5B8}</b:Guid>
    <b:Title>El daño. Análisis comparativo de la responsabilidad extracontractual del Estado en el derecho colombiano y francés.</b:Title>
    <b:Year>2007</b:Year>
    <b:City>Bogotá</b:City>
    <b:Publisher>Universidad Externado de Colombia</b:Publisher>
    <b:Author>
      <b:Author>
        <b:NameList>
          <b:Person>
            <b:Last>Henao Perez</b:Last>
            <b:First>Juan</b:First>
            <b:Middle>Carlos</b:Middle>
          </b:Person>
        </b:NameList>
      </b:Author>
    </b:Author>
    <b:RefOrder>17</b:RefOrder>
  </b:Source>
  <b:Source>
    <b:Tag>Ber13</b:Tag>
    <b:SourceType>Book</b:SourceType>
    <b:Guid>{5C88B767-30F9-44AB-A893-0A78F2B7B0BF}</b:Guid>
    <b:Author>
      <b:Author>
        <b:NameList>
          <b:Person>
            <b:Last>Bernal Pulido</b:Last>
            <b:First>Carlos.</b:First>
          </b:Person>
        </b:NameList>
      </b:Author>
    </b:Author>
    <b:Title>La filosofía de la responsabilidad civil. Estudios sobre los fundamentos filosofico-juridicos de la responsabilidad civil extracontractual.</b:Title>
    <b:Year>2013</b:Year>
    <b:City>Bogotá</b:City>
    <b:Publisher>Universidad Externado de Colombia</b:Publisher>
    <b:RefOrder>21</b:RefOrder>
  </b:Source>
  <b:Source>
    <b:Tag>Ama10</b:Tag>
    <b:SourceType>Book</b:SourceType>
    <b:Guid>{2F749A8C-A4B1-4E22-A7AA-C7B57D00A85E}</b:Guid>
    <b:Author>
      <b:Author>
        <b:NameList>
          <b:Person>
            <b:Last>Amaya Navas</b:Last>
            <b:First>Oscar</b:First>
            <b:Middle>Dario</b:Middle>
          </b:Person>
          <b:Person>
            <b:Last>Pachon.</b:Last>
            <b:First>García</b:First>
          </b:Person>
        </b:NameList>
      </b:Author>
    </b:Author>
    <b:Title>Nuevo Régimen Sancionatorio Ambiental</b:Title>
    <b:Year>2010</b:Year>
    <b:City>Bogotá</b:City>
    <b:Publisher>Universidad Externado de Colombia</b:Publisher>
    <b:RefOrder>18</b:RefOrder>
  </b:Source>
  <b:Source>
    <b:Tag>ANW48</b:Tag>
    <b:SourceType>Book</b:SourceType>
    <b:Guid>{475B8735-E0BD-4148-8302-AA177296DDAD}</b:Guid>
    <b:Author>
      <b:Author>
        <b:NameList>
          <b:Person>
            <b:Last>A. N. Whitehead</b:Last>
          </b:Person>
        </b:NameList>
      </b:Author>
    </b:Author>
    <b:Title>Science and the Modern World</b:Title>
    <b:Year>1948</b:Year>
    <b:City>New York</b:City>
    <b:Publisher>Mentor</b:Publisher>
    <b:RefOrder>1</b:RefOrder>
  </b:Source>
  <b:Source>
    <b:Tag>Bor</b:Tag>
    <b:SourceType>Book</b:SourceType>
    <b:Guid>{25A265FE-A1C2-45B5-A7BE-7B9A194EDE10}</b:Guid>
    <b:Title>And Invitation of reflexive sociology</b:Title>
    <b:Author>
      <b:Author>
        <b:NameList>
          <b:Person>
            <b:Last>Bordieu</b:Last>
            <b:First>Pierre </b:First>
          </b:Person>
          <b:Person>
            <b:Last>Wacquant</b:Last>
            <b:Middle>J. D.</b:Middle>
            <b:First>Loïc</b:First>
          </b:Person>
        </b:NameList>
      </b:Author>
    </b:Author>
    <b:Year>1992</b:Year>
    <b:City>Chicago</b:City>
    <b:Publisher>The University of Chicago Press</b:Publisher>
    <b:RefOrder>22</b:RefOrder>
  </b:Source>
  <b:Source>
    <b:Tag>T1012</b:Tag>
    <b:SourceType>Case</b:SourceType>
    <b:Guid>{439D0EBF-B9E4-4997-A5A9-F56693A0DFAB}</b:Guid>
    <b:Title>T-1077</b:Title>
    <b:Year>2012</b:Year>
    <b:Month>diciembre</b:Month>
    <b:Day>12</b:Day>
    <b:CaseNumber>T-3.286.371</b:CaseNumber>
    <b:Court>Corte Constitucional</b:Court>
    <b:RefOrder>23</b:RefOrder>
  </b:Source>
  <b:Source>
    <b:Tag>Góm11</b:Tag>
    <b:SourceType>Book</b:SourceType>
    <b:Guid>{B982AD29-DB75-442D-9610-BD04A0CAD0F3}</b:Guid>
    <b:Title>Dogmática del derecho disciplinario</b:Title>
    <b:Year>2011</b:Year>
    <b:City>Bogotá</b:City>
    <b:Publisher>Universidad Externado de Colombia</b:Publisher>
    <b:Author>
      <b:Author>
        <b:NameList>
          <b:Person>
            <b:Last>Gómez Pavajeau</b:Last>
            <b:First>A.</b:First>
          </b:Person>
        </b:NameList>
      </b:Author>
    </b:Author>
    <b:RefOrder>3</b:RefOrder>
  </b:Source>
  <b:Source>
    <b:Tag>San12</b:Tag>
    <b:SourceType>Book</b:SourceType>
    <b:Guid>{B209140D-F2EB-4364-B9C9-DA6BC45C2A7C}</b:Guid>
    <b:Title>La carga del perjudicado de evitar o mitigar el daño: estudio hitórico-comparado.</b:Title>
    <b:Year>2012</b:Year>
    <b:City>Bogotá</b:City>
    <b:Publisher>Universidad Externado de Colombia</b:Publisher>
    <b:Author>
      <b:Author>
        <b:NameList>
          <b:Person>
            <b:Last>San Martin Neira</b:Last>
            <b:First>Lilian C. </b:First>
          </b:Person>
        </b:NameList>
      </b:Author>
    </b:Author>
    <b:RefOrder>13</b:RefOrder>
  </b:Source>
  <b:Source>
    <b:Tag>Zor12</b:Tag>
    <b:SourceType>BookSection</b:SourceType>
    <b:Guid>{CD1D903C-9707-4129-BCDD-1B04B49BFD96}</b:Guid>
    <b:Title>Riesgo, globalización y justicia. Ensayo sobre la aproximación a los fundamento teoricos para la reconstrucción de las categorías básicas en el régimen de responsabilidad civil.</b:Title>
    <b:Year>2012</b:Year>
    <b:City>Bogotá</b:City>
    <b:Publisher>Universidad Externado de Colombia</b:Publisher>
    <b:BookTitle>Escritos sobre riesgos y seguros.</b:BookTitle>
    <b:Pages>197-225</b:Pages>
    <b:Author>
      <b:Author>
        <b:NameList>
          <b:Person>
            <b:Last>Zornosa Prieto</b:Last>
            <b:First>Hilda Esperanza</b:First>
          </b:Person>
        </b:NameList>
      </b:Author>
      <b:BookAuthor>
        <b:NameList>
          <b:Person>
            <b:Last>Zornosa Prieto</b:Last>
            <b:First>Hilda</b:First>
            <b:Middle>Esperanza</b:Middle>
          </b:Person>
        </b:NameList>
      </b:BookAuthor>
    </b:Author>
    <b:RefOrder>24</b:RefOrder>
  </b:Source>
  <b:Source>
    <b:Tag>Cla14</b:Tag>
    <b:SourceType>Book</b:SourceType>
    <b:Guid>{462E9314-42F7-4FD9-8FB7-A4BB383DC5F4}</b:Guid>
    <b:Title>Método, metodología y técinas de las investigación aplicadas al derecho</b:Title>
    <b:Year>2014</b:Year>
    <b:City>Bogotá</b:City>
    <b:Publisher>Ibañez</b:Publisher>
    <b:Author>
      <b:Author>
        <b:NameList>
          <b:Person>
            <b:Last>Clavijo Cáceres</b:Last>
            <b:First>Darwin</b:First>
          </b:Person>
          <b:Person>
            <b:Last>Guerra Moreno</b:Last>
            <b:First>Débora</b:First>
          </b:Person>
          <b:Person>
            <b:Last>Yáñez Meza</b:Last>
            <b:First>Diego Armando</b:First>
          </b:Person>
        </b:NameList>
      </b:Author>
    </b:Author>
    <b:RefOrder>6</b:RefOrder>
  </b:Source>
  <b:Source>
    <b:Tag>Wit08</b:Tag>
    <b:SourceType>JournalArticle</b:SourceType>
    <b:Guid>{C2876518-7202-44FF-95C1-302C179C9D62}</b:Guid>
    <b:Author>
      <b:Author>
        <b:NameList>
          <b:Person>
            <b:Last>Witker</b:Last>
            <b:First>Jorge</b:First>
          </b:Person>
        </b:NameList>
      </b:Author>
    </b:Author>
    <b:Title>Hacia una investigación jurídica integrativa.</b:Title>
    <b:Year>2008</b:Year>
    <b:JournalName>Boletín mexicano de derecho comparado</b:JournalName>
    <b:Pages>943-964.</b:Pages>
    <b:RefOrder>7</b:RefOrder>
  </b:Source>
  <b:Source>
    <b:Tag>Suá13</b:Tag>
    <b:SourceType>BookSection</b:SourceType>
    <b:Guid>{C5CDD399-4754-4D98-8B96-5ADF3C32957B}</b:Guid>
    <b:Title>Acerca de los fundamentos morales de la responsabilidad extracontractual</b:Title>
    <b:Year>2013</b:Year>
    <b:Pages>155-172</b:Pages>
    <b:Author>
      <b:Author>
        <b:NameList>
          <b:Person>
            <b:Last>Suárez</b:Last>
            <b:First>Pablo</b:First>
          </b:Person>
        </b:NameList>
      </b:Author>
      <b:BookAuthor>
        <b:NameList>
          <b:Person>
            <b:Last>Bernal Pulido</b:Last>
            <b:First>Carlos</b:First>
          </b:Person>
          <b:Person>
            <b:Last>Fabra zamora</b:Last>
            <b:First>Jorge.</b:First>
          </b:Person>
        </b:NameList>
      </b:BookAuthor>
    </b:Author>
    <b:BookTitle>La filosofía de la responsabilidad civil</b:BookTitle>
    <b:City>Bogotá</b:City>
    <b:Publisher>Universidad Externado de Colombia</b:Publisher>
    <b:RefOrder>9</b:RefOrder>
  </b:Source>
  <b:Source>
    <b:Tag>Gua07</b:Tag>
    <b:SourceType>BookSection</b:SourceType>
    <b:Guid>{89FFABA4-CB05-4106-ADF6-05998596B5BD}</b:Guid>
    <b:Title>El receptor de la indemnización del «daño ambiental puro» en las acciones populares y la prueba del «daño ambiental consecutivo» en las acciones de grupo</b:Title>
    <b:BookTitle>Daño Ambiental, Tomo I</b:BookTitle>
    <b:Year>2007</b:Year>
    <b:Pages>255-279</b:Pages>
    <b:City>Bogotá</b:City>
    <b:Publisher>Universidad Externado de Colombia</b:Publisher>
    <b:Author>
      <b:Author>
        <b:Corporate>Guayacan Ortiz, Juan Carlos;</b:Corporate>
      </b:Author>
    </b:Author>
    <b:RefOrder>25</b:RefOrder>
  </b:Source>
  <b:Source>
    <b:Tag>Ley98</b:Tag>
    <b:SourceType>Misc</b:SourceType>
    <b:Guid>{D1C000B3-186E-4439-96C3-581F8F06193F}</b:Guid>
    <b:Title>Congreso de la República</b:Title>
    <b:PublicationTitle>Por la cual se desarrolla el artículo 88 de la Constitución Política de Colombia en relación con el ejercicio de las acciones populares y de grupo y se dictan otras disposiciones</b:PublicationTitle>
    <b:Year>1998</b:Year>
    <b:Month>agosto</b:Month>
    <b:Day>5</b:Day>
    <b:City>Bogotá D.C.</b:City>
    <b:CountryRegion>Colombia</b:CountryRegion>
    <b:Publisher>Diario Oficial No. 43.357, de 6 de agosto de 1998</b:Publisher>
    <b:Author>
      <b:Author>
        <b:NameList>
          <b:Person>
            <b:Last>Ley 472</b:Last>
          </b:Person>
        </b:NameList>
      </b:Author>
    </b:Author>
    <b:URL>http://www.secretariasenado.gov.co/senado/basedoc/ley_0472_1998.html#13</b:URL>
    <b:RefOrder>26</b:RefOrder>
  </b:Source>
  <b:Source>
    <b:Tag>Tel14</b:Tag>
    <b:SourceType>JournalArticle</b:SourceType>
    <b:Guid>{E274340D-CB20-45DF-ACD0-BC328F6EEB46}</b:Guid>
    <b:Title>Teleología de la cláusula de exclusión en Colombia</b:Title>
    <b:Year>2014</b:Year>
    <b:Month>Julio-Diciembre</b:Month>
    <b:City>San José de Cúcuta</b:City>
    <b:Publisher>Universidad Libre Seccional Cúcuta &amp; Grupo Editorial Ibañez</b:Publisher>
    <b:JournalName>Revista Academia &amp; Derecho</b:JournalName>
    <b:Pages>(Rango de páginas del articulo)</b:Pages>
    <b:Issue>9</b:Issue>
    <b:Author>
      <b:Author>
        <b:NameList>
          <b:Person>
            <b:Last>Sanabria Villamizar</b:Last>
            <b:Middle>Jesús</b:Middle>
            <b:First>Ronald</b:First>
          </b:Person>
        </b:NameList>
      </b:Author>
    </b:Author>
    <b:Volume>5</b:Volume>
    <b:RefOrder>1</b:RefOrder>
  </b:Source>
  <b:Source>
    <b:Tag>Una</b:Tag>
    <b:SourceType>JournalArticle</b:SourceType>
    <b:Guid>{9229A5BA-B995-4C82-81C8-3B4DA5ECBFB6}</b:Guid>
    <b:Title>Una mirada de la violencia en Colombia desde la teoría del poder de J. Thompson</b:Title>
    <b:Year>2014</b:Year>
    <b:Month>Julio-Diciembre</b:Month>
    <b:City>San José de Cúcuta</b:City>
    <b:Author>
      <b:Author>
        <b:NameList>
          <b:Person>
            <b:Last>Avendaño Castro</b:Last>
            <b:Middle>Rodrigo</b:Middle>
            <b:First>William</b:First>
          </b:Person>
          <b:Person>
            <b:Last>Mogrovejo Andrade</b:Last>
            <b:Middle>Milena</b:Middle>
            <b:First>Johanna</b:First>
          </b:Person>
          <b:Person>
            <b:Last>Bastos Osorio</b:Last>
            <b:Middle>Marcela</b:Middle>
            <b:First>Liliana</b:First>
          </b:Person>
        </b:NameList>
      </b:Author>
    </b:Author>
    <b:JournalName>Revista Academia &amp; Derecho</b:JournalName>
    <b:Pages>(Rango de páginas del articulo)</b:Pages>
    <b:Publisher>Universidad Libre Seccional Cúcuta &amp; Grupo Editorial Ibañez</b:Publisher>
    <b:Volume>5</b:Volume>
    <b:Issue>9</b:Issue>
    <b:RefOrder>2</b:RefOrder>
  </b:Source>
  <b:Source>
    <b:Tag>Ped14</b:Tag>
    <b:SourceType>JournalArticle</b:SourceType>
    <b:Guid>{A266AED3-4517-4B23-A3AC-E9C3BF90E36B}</b:Guid>
    <b:Title>Pedagogía kantiana: antropología, conocimiento y moralidad</b:Title>
    <b:JournalName>Revista Academia &amp; Derecho</b:JournalName>
    <b:Year>2014</b:Year>
    <b:City>San José de Cúcuta</b:City>
    <b:Month>Julio-Diciembre</b:Month>
    <b:Author>
      <b:Author>
        <b:NameList>
          <b:Person>
            <b:Last>Reyes Calderón</b:Last>
            <b:Middle>Ricardo</b:Middle>
            <b:First>Jaime</b:First>
          </b:Person>
        </b:NameList>
      </b:Author>
    </b:Author>
    <b:Pages>(Rango de páginas del articulo)</b:Pages>
    <b:Publisher>Universidad Libre Seccional Cúcuta &amp; Grupo Editorial Ibañez</b:Publisher>
    <b:Volume>5</b:Volume>
    <b:Issue>9</b:Issue>
    <b:RefOrder>3</b:RefOrder>
  </b:Source>
  <b:Source>
    <b:Tag>MarcadorDePosición1</b:Tag>
    <b:SourceType>JournalArticle</b:SourceType>
    <b:Guid>{2AA2799B-537D-4D0A-BF43-A7895B2EAF34}</b:Guid>
    <b:Title>Despolitización de la ciudadanía: una mirada desde el proceso de exclusión en Colombia</b:Title>
    <b:JournalName>Revista Academia &amp; Derecho</b:JournalName>
    <b:Year>2014</b:Year>
    <b:City>San José de Cúcuta</b:City>
    <b:Month>Julio-Diciembre</b:Month>
    <b:Author>
      <b:Author>
        <b:NameList>
          <b:Person>
            <b:Last>Clavijo Cáceres</b:Last>
            <b:First>Darwin</b:First>
          </b:Person>
          <b:Person>
            <b:Last>Agudelo Ibáñez</b:Last>
            <b:Middle>Juliana</b:Middle>
            <b:First>Sirley</b:First>
          </b:Person>
        </b:NameList>
      </b:Author>
    </b:Author>
    <b:Pages>(Rango de páginas del articulo)</b:Pages>
    <b:Publisher>Universidad Libre Seccional Cúcuta &amp; Grupo Editorial Ibañez</b:Publisher>
    <b:Volume>5</b:Volume>
    <b:Issue>9</b:Issue>
    <b:RefOrder>4</b:RefOrder>
  </b:Source>
  <b:Source>
    <b:Tag>Los14</b:Tag>
    <b:SourceType>JournalArticle</b:SourceType>
    <b:Guid>{F2DDBF3C-7125-4563-B05F-136C78591FE9}</b:Guid>
    <b:Title>Los daños ecológicos puros y la tragedia de los comunes: ¿existe una respuesta desde la justicia correctiva?</b:Title>
    <b:JournalName>Revista Academia &amp; Derecho</b:JournalName>
    <b:Year>2014</b:Year>
    <b:City>San José de Cúcuta</b:City>
    <b:Month>Julio-Diciembre</b:Month>
    <b:Author>
      <b:Author>
        <b:NameList>
          <b:Person>
            <b:Last>Reyes Garcés</b:Last>
            <b:Middle>Mauricio</b:Middle>
            <b:First>Henry</b:First>
          </b:Person>
        </b:NameList>
      </b:Author>
    </b:Author>
    <b:Pages>(Rango de páginas del articulo)</b:Pages>
    <b:Publisher>Universidad Libre Seccional Cúcuta &amp; Grupo Editorial Ibañez</b:Publisher>
    <b:Volume>5</b:Volume>
    <b:Issue>9</b:Issue>
    <b:RefOrder>5</b:RefOrder>
  </b:Source>
  <b:Source>
    <b:Tag>Lap14</b:Tag>
    <b:SourceType>JournalArticle</b:SourceType>
    <b:Guid>{825590E7-87D2-4058-81DD-A47003002CFC}</b:Guid>
    <b:Title>La prueba estadística ante los tribunales internacionales</b:Title>
    <b:JournalName>Revista Academia &amp; Derecho</b:JournalName>
    <b:Year>2014</b:Year>
    <b:City>San José de Cúcuta</b:City>
    <b:Month>Julio-Diciembre</b:Month>
    <b:Author>
      <b:Author>
        <b:NameList>
          <b:Person>
            <b:Last>Yañez Rueda</b:Last>
            <b:Middle>Jesús</b:Middle>
            <b:First>Álvaro de</b:First>
          </b:Person>
          <b:Person>
            <b:Last>Laguado Serrano</b:Last>
            <b:Middle>Eduardo</b:Middle>
            <b:First>Cristian</b:First>
          </b:Person>
        </b:NameList>
      </b:Author>
    </b:Author>
    <b:Pages>(Rango de páginas del articulo)</b:Pages>
    <b:Publisher>Universidad Libre Seccional Cúcuta &amp; Grupo Editorial Ibañez</b:Publisher>
    <b:Volume>5</b:Volume>
    <b:Issue>9</b:Issue>
    <b:RefOrder>6</b:RefOrder>
  </b:Source>
  <b:Source>
    <b:Tag>Ins02</b:Tag>
    <b:SourceType>Book</b:SourceType>
    <b:Guid>{858935C6-ADAA-4FA4-8726-F6396DF2F0A0}</b:Guid>
    <b:Title>Flexibilidad y Educación Superior en Colombia</b:Title>
    <b:Year>2002</b:Year>
    <b:City>Bogotá</b:City>
    <b:Publisher>ICFES</b:Publisher>
    <b:Author>
      <b:Author>
        <b:Corporate>Instituto Colombiano para el Fomento de la Educación Superior</b:Corporate>
      </b:Author>
    </b:Author>
    <b:RefOrder>1</b:RefOrder>
  </b:Source>
  <b:Source>
    <b:Tag>Ley90</b:Tag>
    <b:SourceType>Case</b:SourceType>
    <b:Guid>{E7D48BB0-74C9-4249-94AA-83CAB89D479E}</b:Guid>
    <b:Title>Ley 43 de 1990</b:Title>
    <b:Year>1990</b:Year>
    <b:RefOrder>2</b:RefOrder>
  </b:Source>
  <b:Source>
    <b:Tag>Lav95</b:Tag>
    <b:SourceType>DocumentFromInternetSite</b:SourceType>
    <b:Guid>{716EACDA-5221-400A-BC63-43F0B9A9C66E}</b:Guid>
    <b:Title>El Tiempo</b:Title>
    <b:Year>1995</b:Year>
    <b:Month>Marzo</b:Month>
    <b:Day>21</b:Day>
    <b:Author>
      <b:Author>
        <b:NameList>
          <b:Person>
            <b:Last>Laverde Toscano</b:Last>
            <b:First>Eduardo</b:First>
          </b:Person>
        </b:NameList>
      </b:Author>
    </b:Author>
    <b:URL>http://www.eltiempo.com/archivo/documento/MAM-279677</b:URL>
    <b:RefOrder>3</b:RefOrder>
  </b:Source>
  <b:Source>
    <b:Tag>Cru10</b:Tag>
    <b:SourceType>Book</b:SourceType>
    <b:Guid>{801267A4-A979-45DE-8194-3F78748A8401}</b:Guid>
    <b:Title>Lecciones de Derecho tributario</b:Title>
    <b:Year>2010</b:Year>
    <b:Author>
      <b:Author>
        <b:NameList>
          <b:Person>
            <b:Last>Cruz de Quiñones</b:Last>
            <b:First>Luz</b:First>
          </b:Person>
        </b:NameList>
      </b:Author>
    </b:Author>
    <b:City>Bogotá</b:City>
    <b:Publisher>Universidad del Rosario</b:Publisher>
    <b:RefOrder>4</b:RefOrder>
  </b:Source>
  <b:Source>
    <b:Tag>Tam16</b:Tag>
    <b:SourceType>DocumentFromInternetSite</b:SourceType>
    <b:Guid>{6E9C36DA-FBF4-48C1-B7D1-6642C03F5EBE}</b:Guid>
    <b:Author>
      <b:Author>
        <b:NameList>
          <b:Person>
            <b:Last>Tamayo y Tamayo</b:Last>
            <b:First>Mario</b:First>
          </b:Person>
        </b:NameList>
      </b:Author>
    </b:Author>
    <b:Title>Biblioteca Digital</b:Title>
    <b:InternetSiteTitle>Biblioeteca digital ICESI</b:InternetSiteTitle>
    <b:Year>2016</b:Year>
    <b:Month>Octubre</b:Month>
    <b:Day>20</b:Day>
    <b:URL>https://bibliotecadigital.icesi.edu.co/biblioteca_digital/bitstream/item/5342/1/interdisciplinariedad.pdf</b:URL>
    <b:RefOrder>5</b:RefOrder>
  </b:Source>
</b:Sources>
</file>

<file path=customXml/itemProps1.xml><?xml version="1.0" encoding="utf-8"?>
<ds:datastoreItem xmlns:ds="http://schemas.openxmlformats.org/officeDocument/2006/customXml" ds:itemID="{F64BD17B-54A7-4FF9-AC14-497E7F87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16929</Words>
  <Characters>93112</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Rolando Eslava Zapata</cp:lastModifiedBy>
  <cp:revision>44</cp:revision>
  <cp:lastPrinted>2024-06-19T22:19:00Z</cp:lastPrinted>
  <dcterms:created xsi:type="dcterms:W3CDTF">2024-06-27T16:34:00Z</dcterms:created>
  <dcterms:modified xsi:type="dcterms:W3CDTF">2024-07-02T12:28:00Z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8a022560b62f1c06539833f8fa7337e2dbbe674bde503c3413347cf66e18a7b4</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e05b5e79-892c-3d4d-a8b1-a05f966bfa4d</vt:lpwstr>
  </property>
  <property fmtid="{D5CDD505-2E9C-101B-9397-08002B2CF9AE}" pid="25" name="Mendeley Citation Style_1">
    <vt:lpwstr>http://www.zotero.org/styles/apa</vt:lpwstr>
  </property>
</Properties>
</file>